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7C2691">
        <w:rPr>
          <w:rStyle w:val="Emphasis"/>
          <w:rFonts w:eastAsiaTheme="minorEastAsia"/>
          <w:b/>
          <w:i w:val="0"/>
          <w:sz w:val="22"/>
          <w:lang w:eastAsia="zh-TW"/>
        </w:rPr>
        <w:t>4</w:t>
      </w:r>
      <w:r w:rsidRPr="00A41770">
        <w:rPr>
          <w:rStyle w:val="Emphasis"/>
          <w:b/>
          <w:i w:val="0"/>
          <w:sz w:val="22"/>
        </w:rPr>
        <w:tab/>
      </w:r>
      <w:r w:rsidR="007C2691" w:rsidRPr="007C2691">
        <w:rPr>
          <w:rStyle w:val="Emphasis"/>
          <w:b/>
          <w:i w:val="0"/>
          <w:sz w:val="22"/>
        </w:rPr>
        <w:t>R1-1808280</w:t>
      </w:r>
    </w:p>
    <w:p w:rsidR="008A6BAD" w:rsidRPr="00051139" w:rsidRDefault="007C2691"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Gothenburg</w:t>
      </w:r>
      <w:r w:rsidR="00EA200C" w:rsidRPr="009B36C4">
        <w:rPr>
          <w:rStyle w:val="Emphasis"/>
          <w:rFonts w:eastAsia="新細明體"/>
          <w:b/>
          <w:i w:val="0"/>
          <w:sz w:val="22"/>
          <w:lang w:eastAsia="zh-TW"/>
        </w:rPr>
        <w:t xml:space="preserve">, </w:t>
      </w:r>
      <w:r>
        <w:rPr>
          <w:rStyle w:val="Emphasis"/>
          <w:rFonts w:eastAsia="新細明體"/>
          <w:b/>
          <w:i w:val="0"/>
          <w:sz w:val="22"/>
          <w:lang w:eastAsia="zh-TW"/>
        </w:rPr>
        <w:t>Sweden</w:t>
      </w:r>
      <w:r w:rsidR="00EA200C" w:rsidRPr="009B36C4">
        <w:rPr>
          <w:rStyle w:val="Emphasis"/>
          <w:rFonts w:eastAsia="新細明體"/>
          <w:b/>
          <w:i w:val="0"/>
          <w:sz w:val="22"/>
          <w:lang w:eastAsia="zh-TW"/>
        </w:rPr>
        <w:t xml:space="preserve">, </w:t>
      </w:r>
      <w:r>
        <w:rPr>
          <w:rStyle w:val="Emphasis"/>
          <w:rFonts w:eastAsia="新細明體"/>
          <w:b/>
          <w:i w:val="0"/>
          <w:sz w:val="22"/>
          <w:lang w:eastAsia="zh-TW"/>
        </w:rPr>
        <w:t>20</w:t>
      </w:r>
      <w:r w:rsidR="00EA200C" w:rsidRPr="00A41770">
        <w:rPr>
          <w:rStyle w:val="Emphasis"/>
          <w:rFonts w:eastAsia="新細明體" w:hint="eastAsia"/>
          <w:b/>
          <w:i w:val="0"/>
          <w:sz w:val="22"/>
          <w:vertAlign w:val="superscript"/>
          <w:lang w:eastAsia="zh-TW"/>
        </w:rPr>
        <w:t>th</w:t>
      </w:r>
      <w:r>
        <w:rPr>
          <w:rStyle w:val="Emphasis"/>
          <w:rFonts w:eastAsia="新細明體"/>
          <w:b/>
          <w:i w:val="0"/>
          <w:sz w:val="22"/>
          <w:vertAlign w:val="superscript"/>
          <w:lang w:eastAsia="zh-TW"/>
        </w:rPr>
        <w:t xml:space="preserve"> </w:t>
      </w:r>
      <w:r w:rsidR="00EA200C" w:rsidRPr="00A41770">
        <w:rPr>
          <w:rStyle w:val="Emphasis"/>
          <w:b/>
          <w:i w:val="0"/>
          <w:sz w:val="22"/>
        </w:rPr>
        <w:t xml:space="preserve">– </w:t>
      </w:r>
      <w:r>
        <w:rPr>
          <w:rStyle w:val="Emphasis"/>
          <w:rFonts w:eastAsiaTheme="minorEastAsia"/>
          <w:b/>
          <w:i w:val="0"/>
          <w:sz w:val="22"/>
          <w:lang w:eastAsia="zh-TW"/>
        </w:rPr>
        <w:t>24</w:t>
      </w:r>
      <w:r w:rsidR="00361967">
        <w:rPr>
          <w:rStyle w:val="Emphasis"/>
          <w:rFonts w:eastAsia="新細明體"/>
          <w:b/>
          <w:i w:val="0"/>
          <w:sz w:val="22"/>
          <w:vertAlign w:val="superscript"/>
          <w:lang w:eastAsia="zh-TW"/>
        </w:rPr>
        <w:t>th</w:t>
      </w:r>
      <w:r w:rsidR="00EA200C">
        <w:rPr>
          <w:rStyle w:val="Emphasis"/>
          <w:rFonts w:eastAsia="新細明體"/>
          <w:b/>
          <w:i w:val="0"/>
          <w:sz w:val="22"/>
          <w:vertAlign w:val="superscript"/>
          <w:lang w:eastAsia="zh-TW"/>
        </w:rPr>
        <w:t xml:space="preserve"> </w:t>
      </w:r>
      <w:r>
        <w:rPr>
          <w:rStyle w:val="Emphasis"/>
          <w:rFonts w:eastAsia="新細明體"/>
          <w:b/>
          <w:i w:val="0"/>
          <w:sz w:val="22"/>
          <w:lang w:eastAsia="zh-TW"/>
        </w:rPr>
        <w:t>August</w:t>
      </w:r>
      <w:r w:rsidR="00EA200C">
        <w:rPr>
          <w:rStyle w:val="Emphasis"/>
          <w:b/>
          <w:i w:val="0"/>
          <w:sz w:val="22"/>
        </w:rPr>
        <w:t xml:space="preserve"> </w:t>
      </w:r>
      <w:r w:rsidR="008A6BAD">
        <w:rPr>
          <w:rStyle w:val="Emphasis"/>
          <w:b/>
          <w:i w:val="0"/>
          <w:sz w:val="22"/>
        </w:rPr>
        <w:t>201</w:t>
      </w:r>
      <w:r>
        <w:rPr>
          <w:rStyle w:val="Emphasis"/>
          <w:rFonts w:eastAsiaTheme="minorEastAsia"/>
          <w:b/>
          <w:i w:val="0"/>
          <w:sz w:val="22"/>
          <w:lang w:eastAsia="zh-TW"/>
        </w:rPr>
        <w:t>8</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2.4.1.2</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C2691" w:rsidRPr="007C2691">
        <w:rPr>
          <w:rStyle w:val="Emphasis"/>
          <w:b/>
          <w:i w:val="0"/>
          <w:sz w:val="22"/>
        </w:rPr>
        <w:t xml:space="preserve">On NR V2X </w:t>
      </w:r>
      <w:r w:rsidR="007C2691">
        <w:rPr>
          <w:rStyle w:val="Emphasis"/>
          <w:b/>
          <w:i w:val="0"/>
          <w:sz w:val="22"/>
        </w:rPr>
        <w:t>P</w:t>
      </w:r>
      <w:r w:rsidR="007C2691" w:rsidRPr="007C2691">
        <w:rPr>
          <w:rStyle w:val="Emphasis"/>
          <w:b/>
          <w:i w:val="0"/>
          <w:sz w:val="22"/>
        </w:rPr>
        <w:t xml:space="preserve">hysical </w:t>
      </w:r>
      <w:r w:rsidR="007C2691">
        <w:rPr>
          <w:rStyle w:val="Emphasis"/>
          <w:b/>
          <w:i w:val="0"/>
          <w:sz w:val="22"/>
        </w:rPr>
        <w:t>C</w:t>
      </w:r>
      <w:r w:rsidR="007C2691" w:rsidRPr="007C2691">
        <w:rPr>
          <w:rStyle w:val="Emphasis"/>
          <w:b/>
          <w:i w:val="0"/>
          <w:sz w:val="22"/>
        </w:rPr>
        <w:t xml:space="preserve">hannel </w:t>
      </w:r>
      <w:r w:rsidR="007C2691">
        <w:rPr>
          <w:rStyle w:val="Emphasis"/>
          <w:b/>
          <w:i w:val="0"/>
          <w:sz w:val="22"/>
        </w:rPr>
        <w:t>D</w:t>
      </w:r>
      <w:r w:rsidR="007C2691" w:rsidRPr="007C2691">
        <w:rPr>
          <w:rStyle w:val="Emphasis"/>
          <w:b/>
          <w:i w:val="0"/>
          <w:sz w:val="22"/>
        </w:rPr>
        <w:t xml:space="preserve">esign </w:t>
      </w:r>
      <w:r w:rsidR="007C2691">
        <w:rPr>
          <w:rStyle w:val="Emphasis"/>
          <w:b/>
          <w:i w:val="0"/>
          <w:sz w:val="22"/>
        </w:rPr>
        <w:t>I</w:t>
      </w:r>
      <w:r w:rsidR="007C2691" w:rsidRPr="007C2691">
        <w:rPr>
          <w:rStyle w:val="Emphasis"/>
          <w:b/>
          <w:i w:val="0"/>
          <w:sz w:val="22"/>
        </w:rPr>
        <w:t>ssue</w:t>
      </w:r>
      <w:r w:rsidR="007C2691">
        <w:rPr>
          <w:rStyle w:val="Emphasis"/>
          <w:rFonts w:eastAsiaTheme="minorEastAsia"/>
          <w:b/>
          <w:i w:val="0"/>
          <w:sz w:val="22"/>
          <w:lang w:eastAsia="zh-TW"/>
        </w:rPr>
        <w:t>s</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FF46E6" w:rsidRDefault="00FF46E6" w:rsidP="00FF46E6">
      <w:pPr>
        <w:jc w:val="both"/>
        <w:rPr>
          <w:rFonts w:eastAsia="新細明體"/>
          <w:lang w:val="en-GB" w:eastAsia="zh-TW"/>
        </w:rPr>
      </w:pPr>
      <w:r w:rsidRPr="00F05C2B">
        <w:rPr>
          <w:rFonts w:eastAsia="新細明體"/>
          <w:lang w:val="en-GB" w:eastAsia="zh-TW"/>
        </w:rPr>
        <w:t>In R</w:t>
      </w:r>
      <w:r>
        <w:rPr>
          <w:rFonts w:eastAsia="新細明體"/>
          <w:lang w:val="en-GB" w:eastAsia="zh-TW"/>
        </w:rPr>
        <w:t>AN Plenary #80</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 xml:space="preserve">NR V2X SID was approved. There is an objective for </w:t>
      </w:r>
      <w:proofErr w:type="spellStart"/>
      <w:r>
        <w:rPr>
          <w:rFonts w:eastAsia="新細明體"/>
          <w:lang w:val="en-GB" w:eastAsia="zh-TW"/>
        </w:rPr>
        <w:t>sidelink</w:t>
      </w:r>
      <w:proofErr w:type="spellEnd"/>
      <w:r>
        <w:rPr>
          <w:rFonts w:eastAsia="新細明體"/>
          <w:lang w:val="en-GB" w:eastAsia="zh-TW"/>
        </w:rPr>
        <w:t xml:space="preserve"> design [RAN1, RAN2] as [1]</w:t>
      </w:r>
      <w:r w:rsidRPr="00F05C2B">
        <w:rPr>
          <w:rFonts w:eastAsia="新細明體"/>
          <w:lang w:val="en-GB" w:eastAsia="zh-TW"/>
        </w:rPr>
        <w:t xml:space="preserve">: </w:t>
      </w:r>
    </w:p>
    <w:p w:rsidR="00FF46E6" w:rsidRPr="00721DE0" w:rsidRDefault="00FF46E6" w:rsidP="00FF46E6">
      <w:pPr>
        <w:numPr>
          <w:ilvl w:val="0"/>
          <w:numId w:val="49"/>
        </w:numPr>
        <w:rPr>
          <w:lang w:eastAsia="ko-KR"/>
        </w:rPr>
      </w:pPr>
      <w:r w:rsidRPr="00721DE0">
        <w:rPr>
          <w:lang w:eastAsia="ko-KR"/>
        </w:rPr>
        <w:t xml:space="preserve">Identify technical solutions for a NR </w:t>
      </w:r>
      <w:proofErr w:type="spellStart"/>
      <w:r w:rsidRPr="00721DE0">
        <w:rPr>
          <w:lang w:eastAsia="ko-KR"/>
        </w:rPr>
        <w:t>sidelink</w:t>
      </w:r>
      <w:proofErr w:type="spellEnd"/>
      <w:r w:rsidRPr="00721DE0">
        <w:rPr>
          <w:lang w:eastAsia="ko-KR"/>
        </w:rPr>
        <w:t xml:space="preserve"> design to meet the requirements of advanced V2X services, including </w:t>
      </w:r>
    </w:p>
    <w:p w:rsidR="00FF46E6" w:rsidRPr="00721DE0" w:rsidRDefault="00FF46E6" w:rsidP="00FF46E6">
      <w:pPr>
        <w:pStyle w:val="ListParagraph"/>
        <w:numPr>
          <w:ilvl w:val="0"/>
          <w:numId w:val="48"/>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rPr>
        <w:t xml:space="preserve">Study the support of </w:t>
      </w:r>
      <w:proofErr w:type="spellStart"/>
      <w:r w:rsidRPr="00721DE0">
        <w:rPr>
          <w:rFonts w:ascii="Times New Roman" w:hAnsi="Times New Roman"/>
          <w:sz w:val="20"/>
          <w:szCs w:val="20"/>
        </w:rPr>
        <w:t>s</w:t>
      </w:r>
      <w:r w:rsidRPr="00721DE0">
        <w:rPr>
          <w:rFonts w:ascii="Times New Roman" w:hAnsi="Times New Roman"/>
          <w:sz w:val="20"/>
          <w:szCs w:val="20"/>
          <w:lang w:eastAsia="zh-CN"/>
        </w:rPr>
        <w:t>idelink</w:t>
      </w:r>
      <w:proofErr w:type="spellEnd"/>
      <w:r w:rsidRPr="00721DE0">
        <w:rPr>
          <w:rFonts w:ascii="Times New Roman" w:hAnsi="Times New Roman"/>
          <w:sz w:val="20"/>
          <w:szCs w:val="20"/>
        </w:rPr>
        <w:t xml:space="preserve"> unicast,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w:t>
      </w:r>
      <w:proofErr w:type="spellStart"/>
      <w:r w:rsidRPr="00721DE0">
        <w:rPr>
          <w:rFonts w:ascii="Times New Roman" w:hAnsi="Times New Roman"/>
          <w:sz w:val="20"/>
          <w:szCs w:val="20"/>
        </w:rPr>
        <w:t>groupcast</w:t>
      </w:r>
      <w:proofErr w:type="spellEnd"/>
      <w:r w:rsidRPr="00721DE0">
        <w:rPr>
          <w:rFonts w:ascii="Times New Roman" w:hAnsi="Times New Roman"/>
          <w:sz w:val="20"/>
          <w:szCs w:val="20"/>
        </w:rPr>
        <w:t xml:space="preserve"> and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broadcast</w:t>
      </w:r>
    </w:p>
    <w:p w:rsidR="00FF46E6" w:rsidRPr="00721DE0" w:rsidRDefault="00FF46E6" w:rsidP="00FF46E6">
      <w:pPr>
        <w:pStyle w:val="ListParagraph"/>
        <w:numPr>
          <w:ilvl w:val="0"/>
          <w:numId w:val="48"/>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rPr>
        <w:t xml:space="preserve">Study NR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w:t>
      </w:r>
      <w:r w:rsidRPr="00721DE0">
        <w:rPr>
          <w:rFonts w:ascii="Times New Roman" w:hAnsi="Times New Roman"/>
          <w:sz w:val="20"/>
          <w:szCs w:val="20"/>
        </w:rPr>
        <w:t>physical layer structures</w:t>
      </w:r>
      <w:r w:rsidRPr="00721DE0">
        <w:rPr>
          <w:rFonts w:ascii="Times New Roman" w:hAnsi="Times New Roman"/>
          <w:sz w:val="20"/>
          <w:szCs w:val="20"/>
          <w:lang w:eastAsia="ko-KR"/>
        </w:rPr>
        <w:t xml:space="preserve"> and procedure(s)</w:t>
      </w:r>
    </w:p>
    <w:p w:rsidR="00FF46E6" w:rsidRPr="00721DE0" w:rsidRDefault="00FF46E6" w:rsidP="00FF46E6">
      <w:pPr>
        <w:pStyle w:val="ListParagraph"/>
        <w:numPr>
          <w:ilvl w:val="0"/>
          <w:numId w:val="48"/>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synchronization mechanism</w:t>
      </w:r>
    </w:p>
    <w:p w:rsidR="00FF46E6" w:rsidRPr="00721DE0" w:rsidRDefault="00FF46E6" w:rsidP="00FF46E6">
      <w:pPr>
        <w:pStyle w:val="ListParagraph"/>
        <w:numPr>
          <w:ilvl w:val="0"/>
          <w:numId w:val="48"/>
        </w:numPr>
        <w:spacing w:after="160" w:line="252" w:lineRule="auto"/>
        <w:contextualSpacing/>
        <w:rPr>
          <w:rFonts w:ascii="Times New Roman" w:hAnsi="Times New Roman"/>
          <w:iCs/>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resource allocation</w:t>
      </w:r>
      <w:r w:rsidRPr="00721DE0">
        <w:rPr>
          <w:rFonts w:ascii="Times New Roman" w:hAnsi="Times New Roman"/>
          <w:sz w:val="20"/>
          <w:szCs w:val="20"/>
          <w:lang w:eastAsia="zh-CN"/>
        </w:rPr>
        <w:t xml:space="preserve"> mechanism (also including objective 3)</w:t>
      </w:r>
    </w:p>
    <w:p w:rsidR="00FF46E6" w:rsidRPr="00721DE0" w:rsidRDefault="00FF46E6" w:rsidP="00FF46E6">
      <w:pPr>
        <w:pStyle w:val="ListParagraph"/>
        <w:numPr>
          <w:ilvl w:val="0"/>
          <w:numId w:val="48"/>
        </w:numPr>
        <w:spacing w:after="160" w:line="252" w:lineRule="auto"/>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proofErr w:type="spellStart"/>
      <w:r w:rsidRPr="00721DE0">
        <w:rPr>
          <w:rFonts w:ascii="Times New Roman" w:hAnsi="Times New Roman"/>
          <w:iCs/>
          <w:sz w:val="20"/>
          <w:szCs w:val="20"/>
          <w:lang w:eastAsia="zh-CN"/>
        </w:rPr>
        <w:t>sidelink</w:t>
      </w:r>
      <w:proofErr w:type="spellEnd"/>
      <w:r w:rsidRPr="00721DE0">
        <w:rPr>
          <w:rFonts w:ascii="Times New Roman" w:hAnsi="Times New Roman"/>
          <w:iCs/>
          <w:sz w:val="20"/>
          <w:szCs w:val="20"/>
          <w:lang w:eastAsia="zh-CN"/>
        </w:rPr>
        <w:t xml:space="preserve"> </w:t>
      </w:r>
      <w:r w:rsidRPr="00721DE0">
        <w:rPr>
          <w:rFonts w:ascii="Times New Roman" w:hAnsi="Times New Roman"/>
          <w:iCs/>
          <w:sz w:val="20"/>
          <w:szCs w:val="20"/>
          <w:lang w:eastAsia="ko-KR"/>
        </w:rPr>
        <w:t>L2/L3 protocols</w:t>
      </w:r>
    </w:p>
    <w:p w:rsidR="006D5747" w:rsidRDefault="00FF46E6" w:rsidP="00FF46E6">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would like to discuss NR </w:t>
      </w:r>
      <w:proofErr w:type="spellStart"/>
      <w:r>
        <w:rPr>
          <w:rFonts w:eastAsiaTheme="minorEastAsia"/>
          <w:lang w:val="en-GB" w:eastAsia="zh-TW"/>
        </w:rPr>
        <w:t>sidelink</w:t>
      </w:r>
      <w:proofErr w:type="spellEnd"/>
      <w:r>
        <w:rPr>
          <w:rFonts w:eastAsiaTheme="minorEastAsia"/>
          <w:lang w:val="en-GB" w:eastAsia="zh-TW"/>
        </w:rPr>
        <w:t xml:space="preserve"> physical layer structures.</w:t>
      </w:r>
    </w:p>
    <w:p w:rsidR="00777174" w:rsidRDefault="00B11AA2" w:rsidP="00410E12">
      <w:pPr>
        <w:pStyle w:val="Heading1"/>
        <w:rPr>
          <w:lang w:eastAsia="zh-TW"/>
        </w:rPr>
      </w:pPr>
      <w:r>
        <w:rPr>
          <w:lang w:eastAsia="zh-TW"/>
        </w:rPr>
        <w:t>Discussion</w:t>
      </w:r>
    </w:p>
    <w:p w:rsidR="00E50B12" w:rsidRDefault="005626E5" w:rsidP="00401321">
      <w:pPr>
        <w:jc w:val="both"/>
        <w:rPr>
          <w:rFonts w:eastAsiaTheme="minorEastAsia"/>
          <w:lang w:val="en-GB" w:eastAsia="zh-TW"/>
        </w:rPr>
      </w:pPr>
      <w:r>
        <w:rPr>
          <w:rFonts w:eastAsiaTheme="minorEastAsia"/>
          <w:lang w:val="en-GB" w:eastAsia="zh-TW"/>
        </w:rPr>
        <w:t xml:space="preserve">LTE V2X and eV2X, which have been specified in Releases 14 and 15, can be the starting point of NR V2X study. The major differences between LTE V2X and NR V2X are reliability and latency. From [2], the latency requirement is 3 </w:t>
      </w:r>
      <w:proofErr w:type="spellStart"/>
      <w:r>
        <w:rPr>
          <w:rFonts w:eastAsiaTheme="minorEastAsia"/>
          <w:lang w:val="en-GB" w:eastAsia="zh-TW"/>
        </w:rPr>
        <w:t>ms</w:t>
      </w:r>
      <w:proofErr w:type="spellEnd"/>
      <w:r>
        <w:rPr>
          <w:rFonts w:eastAsiaTheme="minorEastAsia"/>
          <w:lang w:val="en-GB" w:eastAsia="zh-TW"/>
        </w:rPr>
        <w:t xml:space="preserve"> and the reliability requirement is 99.999%</w:t>
      </w:r>
      <w:r w:rsidR="00241C45">
        <w:rPr>
          <w:rFonts w:eastAsiaTheme="minorEastAsia"/>
          <w:lang w:val="en-GB" w:eastAsia="zh-TW"/>
        </w:rPr>
        <w:t xml:space="preserve"> as shown in Table 1</w:t>
      </w:r>
      <w:r>
        <w:rPr>
          <w:rFonts w:eastAsiaTheme="minorEastAsia"/>
          <w:lang w:val="en-GB" w:eastAsia="zh-TW"/>
        </w:rPr>
        <w:t xml:space="preserve">. However, the latency and reliability requirements are 20 </w:t>
      </w:r>
      <w:proofErr w:type="spellStart"/>
      <w:r>
        <w:rPr>
          <w:rFonts w:eastAsiaTheme="minorEastAsia"/>
          <w:lang w:val="en-GB" w:eastAsia="zh-TW"/>
        </w:rPr>
        <w:t>ms</w:t>
      </w:r>
      <w:proofErr w:type="spellEnd"/>
      <w:r>
        <w:rPr>
          <w:rFonts w:eastAsiaTheme="minorEastAsia"/>
          <w:lang w:val="en-GB" w:eastAsia="zh-TW"/>
        </w:rPr>
        <w:t xml:space="preserve"> and 99% in LTE V2X [3]</w:t>
      </w:r>
      <w:r w:rsidR="00241C45">
        <w:rPr>
          <w:rFonts w:eastAsiaTheme="minorEastAsia"/>
          <w:lang w:val="en-GB" w:eastAsia="zh-TW"/>
        </w:rPr>
        <w:t xml:space="preserve"> as shown in Table 2</w:t>
      </w:r>
      <w:r>
        <w:rPr>
          <w:rFonts w:eastAsiaTheme="minorEastAsia"/>
          <w:lang w:val="en-GB" w:eastAsia="zh-TW"/>
        </w:rPr>
        <w:t xml:space="preserve">, respectively. </w:t>
      </w:r>
    </w:p>
    <w:p w:rsidR="00241C45" w:rsidRDefault="00241C45" w:rsidP="00241C45">
      <w:pPr>
        <w:jc w:val="center"/>
        <w:rPr>
          <w:rFonts w:eastAsiaTheme="minorEastAsia"/>
          <w:lang w:val="en-GB" w:eastAsia="zh-TW"/>
        </w:rPr>
      </w:pPr>
      <w:r w:rsidRPr="00241C45">
        <w:rPr>
          <w:rFonts w:eastAsiaTheme="minorEastAsia"/>
          <w:b/>
          <w:lang w:val="en-GB" w:eastAsia="zh-TW"/>
        </w:rPr>
        <w:t>Table 1</w:t>
      </w:r>
      <w:r>
        <w:rPr>
          <w:rFonts w:eastAsiaTheme="minorEastAsia"/>
          <w:lang w:val="en-GB" w:eastAsia="zh-TW"/>
        </w:rPr>
        <w:t xml:space="preserve">. Requirements of NR V2X advanced </w:t>
      </w:r>
      <w:r w:rsidR="00544A1A">
        <w:rPr>
          <w:rFonts w:eastAsiaTheme="minorEastAsia"/>
          <w:lang w:val="en-GB" w:eastAsia="zh-TW"/>
        </w:rPr>
        <w:t xml:space="preserve">safety </w:t>
      </w:r>
      <w:r>
        <w:rPr>
          <w:rFonts w:eastAsiaTheme="minorEastAsia"/>
          <w:lang w:val="en-GB" w:eastAsia="zh-TW"/>
        </w:rPr>
        <w:t>services.</w:t>
      </w:r>
    </w:p>
    <w:tbl>
      <w:tblPr>
        <w:tblStyle w:val="GridTable4-Accent4"/>
        <w:tblW w:w="4928" w:type="dxa"/>
        <w:jc w:val="center"/>
        <w:tblLook w:val="04A0" w:firstRow="1" w:lastRow="0" w:firstColumn="1" w:lastColumn="0" w:noHBand="0" w:noVBand="1"/>
      </w:tblPr>
      <w:tblGrid>
        <w:gridCol w:w="1809"/>
        <w:gridCol w:w="1418"/>
        <w:gridCol w:w="1701"/>
      </w:tblGrid>
      <w:tr w:rsidR="00544A1A" w:rsidTr="00544A1A">
        <w:trPr>
          <w:cnfStyle w:val="100000000000" w:firstRow="1" w:lastRow="0" w:firstColumn="0" w:lastColumn="0" w:oddVBand="0" w:evenVBand="0" w:oddHBand="0" w:evenHBand="0" w:firstRowFirstColumn="0" w:firstRowLastColumn="0" w:lastRowFirstColumn="0" w:lastRowLastColumn="0"/>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544A1A" w:rsidRPr="00241C45" w:rsidRDefault="00544A1A" w:rsidP="00241C45">
            <w:pPr>
              <w:jc w:val="both"/>
              <w:rPr>
                <w:rFonts w:eastAsiaTheme="minorEastAsia"/>
                <w:lang w:eastAsia="zh-TW"/>
              </w:rPr>
            </w:pPr>
          </w:p>
        </w:tc>
        <w:tc>
          <w:tcPr>
            <w:tcW w:w="1418" w:type="dxa"/>
          </w:tcPr>
          <w:p w:rsidR="00544A1A" w:rsidRPr="00544A1A" w:rsidRDefault="00544A1A" w:rsidP="00241C45">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Latency (</w:t>
            </w:r>
            <w:proofErr w:type="spellStart"/>
            <w:r w:rsidRPr="00544A1A">
              <w:rPr>
                <w:rFonts w:eastAsiaTheme="minorEastAsia"/>
                <w:color w:val="auto"/>
                <w:lang w:eastAsia="zh-TW"/>
              </w:rPr>
              <w:t>ms</w:t>
            </w:r>
            <w:proofErr w:type="spellEnd"/>
            <w:r w:rsidRPr="00544A1A">
              <w:rPr>
                <w:rFonts w:eastAsiaTheme="minorEastAsia"/>
                <w:color w:val="auto"/>
                <w:lang w:eastAsia="zh-TW"/>
              </w:rPr>
              <w:t>)</w:t>
            </w:r>
          </w:p>
        </w:tc>
        <w:tc>
          <w:tcPr>
            <w:tcW w:w="1701" w:type="dxa"/>
          </w:tcPr>
          <w:p w:rsidR="00544A1A" w:rsidRPr="00544A1A" w:rsidRDefault="00544A1A" w:rsidP="00241C45">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Reliability</w:t>
            </w:r>
          </w:p>
        </w:tc>
      </w:tr>
      <w:tr w:rsidR="00544A1A" w:rsidTr="00544A1A">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809" w:type="dxa"/>
          </w:tcPr>
          <w:p w:rsidR="00544A1A" w:rsidRPr="00241C45" w:rsidRDefault="00544A1A" w:rsidP="00241C45">
            <w:pPr>
              <w:jc w:val="both"/>
              <w:rPr>
                <w:rFonts w:eastAsiaTheme="minorEastAsia"/>
                <w:lang w:eastAsia="zh-TW"/>
              </w:rPr>
            </w:pPr>
            <w:r w:rsidRPr="00241C45">
              <w:rPr>
                <w:rFonts w:eastAsiaTheme="minorEastAsia"/>
                <w:lang w:eastAsia="zh-TW"/>
              </w:rPr>
              <w:t>Platooning</w:t>
            </w:r>
          </w:p>
        </w:tc>
        <w:tc>
          <w:tcPr>
            <w:tcW w:w="1418" w:type="dxa"/>
          </w:tcPr>
          <w:p w:rsidR="00544A1A" w:rsidRPr="00241C45" w:rsidRDefault="00544A1A" w:rsidP="00241C4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10-25</w:t>
            </w:r>
          </w:p>
        </w:tc>
        <w:tc>
          <w:tcPr>
            <w:tcW w:w="1701" w:type="dxa"/>
          </w:tcPr>
          <w:p w:rsidR="00544A1A" w:rsidRPr="00241C45" w:rsidRDefault="00544A1A" w:rsidP="00241C4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90-99.99%</w:t>
            </w:r>
          </w:p>
        </w:tc>
      </w:tr>
      <w:tr w:rsidR="00544A1A" w:rsidTr="00544A1A">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544A1A" w:rsidRPr="00241C45" w:rsidRDefault="00544A1A" w:rsidP="00241C45">
            <w:pPr>
              <w:jc w:val="both"/>
              <w:rPr>
                <w:rFonts w:eastAsiaTheme="minorEastAsia"/>
                <w:lang w:eastAsia="zh-TW"/>
              </w:rPr>
            </w:pPr>
            <w:r w:rsidRPr="00241C45">
              <w:rPr>
                <w:rFonts w:eastAsiaTheme="minorEastAsia"/>
                <w:lang w:eastAsia="zh-TW"/>
              </w:rPr>
              <w:t>Advanced Driving</w:t>
            </w:r>
          </w:p>
        </w:tc>
        <w:tc>
          <w:tcPr>
            <w:tcW w:w="1418" w:type="dxa"/>
          </w:tcPr>
          <w:p w:rsidR="00544A1A" w:rsidRPr="00241C45" w:rsidRDefault="00544A1A" w:rsidP="00241C4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[3]-[100]</w:t>
            </w:r>
          </w:p>
        </w:tc>
        <w:tc>
          <w:tcPr>
            <w:tcW w:w="1701" w:type="dxa"/>
          </w:tcPr>
          <w:p w:rsidR="00544A1A" w:rsidRPr="00241C45" w:rsidRDefault="00544A1A" w:rsidP="00241C4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[90]-[99.999]%</w:t>
            </w:r>
          </w:p>
        </w:tc>
      </w:tr>
      <w:tr w:rsidR="00544A1A" w:rsidTr="00544A1A">
        <w:trPr>
          <w:cnfStyle w:val="000000100000" w:firstRow="0" w:lastRow="0" w:firstColumn="0" w:lastColumn="0" w:oddVBand="0" w:evenVBand="0" w:oddHBand="1" w:evenHBand="0" w:firstRowFirstColumn="0" w:firstRowLastColumn="0" w:lastRowFirstColumn="0" w:lastRowLastColumn="0"/>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544A1A" w:rsidRPr="00241C45" w:rsidRDefault="00544A1A" w:rsidP="00241C45">
            <w:pPr>
              <w:jc w:val="both"/>
              <w:rPr>
                <w:rFonts w:eastAsiaTheme="minorEastAsia"/>
                <w:lang w:eastAsia="zh-TW"/>
              </w:rPr>
            </w:pPr>
            <w:r w:rsidRPr="00241C45">
              <w:rPr>
                <w:rFonts w:eastAsiaTheme="minorEastAsia"/>
                <w:lang w:eastAsia="zh-TW"/>
              </w:rPr>
              <w:t>Extended Sensors</w:t>
            </w:r>
          </w:p>
        </w:tc>
        <w:tc>
          <w:tcPr>
            <w:tcW w:w="1418" w:type="dxa"/>
          </w:tcPr>
          <w:p w:rsidR="00544A1A" w:rsidRPr="00241C45" w:rsidRDefault="00544A1A" w:rsidP="00241C4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3-100</w:t>
            </w:r>
          </w:p>
        </w:tc>
        <w:tc>
          <w:tcPr>
            <w:tcW w:w="1701" w:type="dxa"/>
          </w:tcPr>
          <w:p w:rsidR="00544A1A" w:rsidRPr="00241C45" w:rsidRDefault="00544A1A" w:rsidP="00241C4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90-99.999%</w:t>
            </w:r>
          </w:p>
        </w:tc>
      </w:tr>
      <w:tr w:rsidR="00544A1A" w:rsidTr="00544A1A">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544A1A" w:rsidRPr="00241C45" w:rsidRDefault="00544A1A" w:rsidP="00241C45">
            <w:pPr>
              <w:jc w:val="both"/>
              <w:rPr>
                <w:rFonts w:eastAsiaTheme="minorEastAsia"/>
                <w:lang w:eastAsia="zh-TW"/>
              </w:rPr>
            </w:pPr>
            <w:r w:rsidRPr="00241C45">
              <w:rPr>
                <w:rFonts w:eastAsiaTheme="minorEastAsia"/>
                <w:lang w:eastAsia="zh-TW"/>
              </w:rPr>
              <w:t>Remote Driving</w:t>
            </w:r>
          </w:p>
        </w:tc>
        <w:tc>
          <w:tcPr>
            <w:tcW w:w="1418" w:type="dxa"/>
          </w:tcPr>
          <w:p w:rsidR="00544A1A" w:rsidRPr="00241C45" w:rsidRDefault="00544A1A" w:rsidP="00241C4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[20]</w:t>
            </w:r>
          </w:p>
        </w:tc>
        <w:tc>
          <w:tcPr>
            <w:tcW w:w="1701" w:type="dxa"/>
          </w:tcPr>
          <w:p w:rsidR="00544A1A" w:rsidRPr="00241C45" w:rsidRDefault="00544A1A" w:rsidP="00241C4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[99.999]%</w:t>
            </w:r>
          </w:p>
        </w:tc>
      </w:tr>
    </w:tbl>
    <w:p w:rsidR="00544A1A" w:rsidRDefault="00544A1A" w:rsidP="00544A1A">
      <w:pPr>
        <w:jc w:val="center"/>
        <w:rPr>
          <w:rFonts w:eastAsiaTheme="minorEastAsia"/>
          <w:lang w:val="en-GB" w:eastAsia="zh-TW"/>
        </w:rPr>
      </w:pPr>
    </w:p>
    <w:p w:rsidR="00241C45" w:rsidRDefault="00544A1A" w:rsidP="00544A1A">
      <w:pPr>
        <w:jc w:val="center"/>
        <w:rPr>
          <w:rFonts w:eastAsiaTheme="minorEastAsia"/>
          <w:lang w:val="en-GB" w:eastAsia="zh-TW"/>
        </w:rPr>
      </w:pPr>
      <w:r w:rsidRPr="00544A1A">
        <w:rPr>
          <w:rFonts w:eastAsiaTheme="minorEastAsia"/>
          <w:b/>
          <w:lang w:val="en-GB" w:eastAsia="zh-TW"/>
        </w:rPr>
        <w:t>Table 2</w:t>
      </w:r>
      <w:r>
        <w:rPr>
          <w:rFonts w:eastAsiaTheme="minorEastAsia"/>
          <w:lang w:val="en-GB" w:eastAsia="zh-TW"/>
        </w:rPr>
        <w:t>. Requirements of LTE V2X basic safety services.</w:t>
      </w:r>
    </w:p>
    <w:tbl>
      <w:tblPr>
        <w:tblStyle w:val="GridTable4-Accent4"/>
        <w:tblW w:w="5376" w:type="dxa"/>
        <w:jc w:val="center"/>
        <w:tblLook w:val="04A0" w:firstRow="1" w:lastRow="0" w:firstColumn="1" w:lastColumn="0" w:noHBand="0" w:noVBand="1"/>
      </w:tblPr>
      <w:tblGrid>
        <w:gridCol w:w="2683"/>
        <w:gridCol w:w="1418"/>
        <w:gridCol w:w="1275"/>
      </w:tblGrid>
      <w:tr w:rsidR="00544A1A" w:rsidRPr="00544A1A" w:rsidTr="00544A1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color w:val="auto"/>
                <w:lang w:eastAsia="zh-TW"/>
              </w:rPr>
            </w:pPr>
            <w:r w:rsidRPr="00544A1A">
              <w:rPr>
                <w:rFonts w:eastAsiaTheme="minorEastAsia"/>
                <w:color w:val="auto"/>
                <w:lang w:eastAsia="zh-TW"/>
              </w:rPr>
              <w:t> </w:t>
            </w:r>
          </w:p>
        </w:tc>
        <w:tc>
          <w:tcPr>
            <w:tcW w:w="1418" w:type="dxa"/>
            <w:hideMark/>
          </w:tcPr>
          <w:p w:rsidR="00544A1A" w:rsidRPr="00544A1A" w:rsidRDefault="00544A1A" w:rsidP="00544A1A">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Latency</w:t>
            </w:r>
            <w:r>
              <w:rPr>
                <w:rFonts w:eastAsiaTheme="minorEastAsia"/>
                <w:color w:val="auto"/>
                <w:lang w:eastAsia="zh-TW"/>
              </w:rPr>
              <w:t xml:space="preserve"> (</w:t>
            </w:r>
            <w:proofErr w:type="spellStart"/>
            <w:r>
              <w:rPr>
                <w:rFonts w:eastAsiaTheme="minorEastAsia"/>
                <w:color w:val="auto"/>
                <w:lang w:eastAsia="zh-TW"/>
              </w:rPr>
              <w:t>ms</w:t>
            </w:r>
            <w:proofErr w:type="spellEnd"/>
            <w:r>
              <w:rPr>
                <w:rFonts w:eastAsiaTheme="minorEastAsia"/>
                <w:color w:val="auto"/>
                <w:lang w:eastAsia="zh-TW"/>
              </w:rPr>
              <w:t>)</w:t>
            </w:r>
          </w:p>
        </w:tc>
        <w:tc>
          <w:tcPr>
            <w:tcW w:w="1275" w:type="dxa"/>
            <w:hideMark/>
          </w:tcPr>
          <w:p w:rsidR="00544A1A" w:rsidRPr="00544A1A" w:rsidRDefault="00544A1A" w:rsidP="00544A1A">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Reliability</w:t>
            </w:r>
          </w:p>
        </w:tc>
      </w:tr>
      <w:tr w:rsidR="00544A1A" w:rsidRPr="00544A1A" w:rsidTr="00544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Pr>
                <w:rFonts w:eastAsiaTheme="minorEastAsia"/>
                <w:lang w:val="en-GB" w:eastAsia="zh-TW"/>
              </w:rPr>
              <w:t>#1 (S</w:t>
            </w:r>
            <w:r w:rsidRPr="00544A1A">
              <w:rPr>
                <w:rFonts w:eastAsiaTheme="minorEastAsia"/>
                <w:lang w:val="en-GB" w:eastAsia="zh-TW"/>
              </w:rPr>
              <w:t>uburban/</w:t>
            </w:r>
            <w:r>
              <w:rPr>
                <w:rFonts w:eastAsiaTheme="minorEastAsia"/>
                <w:lang w:val="en-GB" w:eastAsia="zh-TW"/>
              </w:rPr>
              <w:t>M</w:t>
            </w:r>
            <w:r w:rsidRPr="00544A1A">
              <w:rPr>
                <w:rFonts w:eastAsiaTheme="minorEastAsia"/>
                <w:lang w:val="en-GB" w:eastAsia="zh-TW"/>
              </w:rPr>
              <w:t xml:space="preserve">ajor </w:t>
            </w:r>
            <w:r>
              <w:rPr>
                <w:rFonts w:eastAsiaTheme="minorEastAsia"/>
                <w:lang w:val="en-GB" w:eastAsia="zh-TW"/>
              </w:rPr>
              <w:t>R</w:t>
            </w:r>
            <w:r w:rsidRPr="00544A1A">
              <w:rPr>
                <w:rFonts w:eastAsiaTheme="minorEastAsia"/>
                <w:lang w:val="en-GB" w:eastAsia="zh-TW"/>
              </w:rPr>
              <w:t>oad)</w:t>
            </w:r>
          </w:p>
        </w:tc>
        <w:tc>
          <w:tcPr>
            <w:tcW w:w="1418" w:type="dxa"/>
            <w:hideMark/>
          </w:tcPr>
          <w:p w:rsidR="00544A1A" w:rsidRPr="00544A1A" w:rsidRDefault="00544A1A" w:rsidP="00544A1A">
            <w:pPr>
              <w:tabs>
                <w:tab w:val="left" w:pos="931"/>
              </w:tabs>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544A1A" w:rsidRPr="00544A1A" w:rsidTr="00544A1A">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sidRPr="00544A1A">
              <w:rPr>
                <w:rFonts w:eastAsiaTheme="minorEastAsia"/>
                <w:lang w:val="en-GB" w:eastAsia="zh-TW"/>
              </w:rPr>
              <w:t>#2 (</w:t>
            </w:r>
            <w:r>
              <w:rPr>
                <w:rFonts w:eastAsiaTheme="minorEastAsia"/>
                <w:lang w:val="en-GB" w:eastAsia="zh-TW"/>
              </w:rPr>
              <w:t>F</w:t>
            </w:r>
            <w:r w:rsidRPr="00544A1A">
              <w:rPr>
                <w:rFonts w:eastAsiaTheme="minorEastAsia"/>
                <w:lang w:val="en-GB" w:eastAsia="zh-TW"/>
              </w:rPr>
              <w:t>reeway/</w:t>
            </w:r>
            <w:r>
              <w:rPr>
                <w:rFonts w:eastAsiaTheme="minorEastAsia"/>
                <w:lang w:val="en-GB" w:eastAsia="zh-TW"/>
              </w:rPr>
              <w:t>M</w:t>
            </w:r>
            <w:r w:rsidRPr="00544A1A">
              <w:rPr>
                <w:rFonts w:eastAsiaTheme="minorEastAsia"/>
                <w:lang w:val="en-GB" w:eastAsia="zh-TW"/>
              </w:rPr>
              <w:t>otorway)</w:t>
            </w:r>
          </w:p>
        </w:tc>
        <w:tc>
          <w:tcPr>
            <w:tcW w:w="1418"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96%</w:t>
            </w:r>
          </w:p>
        </w:tc>
      </w:tr>
      <w:tr w:rsidR="00544A1A" w:rsidRPr="00544A1A" w:rsidTr="00544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sidRPr="00544A1A">
              <w:rPr>
                <w:rFonts w:eastAsiaTheme="minorEastAsia"/>
                <w:lang w:val="en-GB" w:eastAsia="zh-TW"/>
              </w:rPr>
              <w:t>#3 (</w:t>
            </w:r>
            <w:r>
              <w:rPr>
                <w:rFonts w:eastAsiaTheme="minorEastAsia"/>
                <w:lang w:val="en-GB" w:eastAsia="zh-TW"/>
              </w:rPr>
              <w:t>A</w:t>
            </w:r>
            <w:r w:rsidRPr="00544A1A">
              <w:rPr>
                <w:rFonts w:eastAsiaTheme="minorEastAsia"/>
                <w:lang w:val="en-GB" w:eastAsia="zh-TW"/>
              </w:rPr>
              <w:t>utobahn)</w:t>
            </w:r>
          </w:p>
        </w:tc>
        <w:tc>
          <w:tcPr>
            <w:tcW w:w="1418"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96%</w:t>
            </w:r>
          </w:p>
        </w:tc>
      </w:tr>
      <w:tr w:rsidR="00544A1A" w:rsidRPr="00544A1A" w:rsidTr="00544A1A">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sidRPr="00544A1A">
              <w:rPr>
                <w:rFonts w:eastAsiaTheme="minorEastAsia"/>
                <w:lang w:val="en-GB" w:eastAsia="zh-TW"/>
              </w:rPr>
              <w:t>#4 (NLOS/</w:t>
            </w:r>
            <w:r>
              <w:rPr>
                <w:rFonts w:eastAsiaTheme="minorEastAsia"/>
                <w:lang w:val="en-GB" w:eastAsia="zh-TW"/>
              </w:rPr>
              <w:t>U</w:t>
            </w:r>
            <w:r w:rsidRPr="00544A1A">
              <w:rPr>
                <w:rFonts w:eastAsiaTheme="minorEastAsia"/>
                <w:lang w:val="en-GB" w:eastAsia="zh-TW"/>
              </w:rPr>
              <w:t>rban)</w:t>
            </w:r>
          </w:p>
        </w:tc>
        <w:tc>
          <w:tcPr>
            <w:tcW w:w="1418"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544A1A" w:rsidRPr="00544A1A" w:rsidTr="00544A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sidRPr="00544A1A">
              <w:rPr>
                <w:rFonts w:eastAsiaTheme="minorEastAsia"/>
                <w:lang w:val="en-GB" w:eastAsia="zh-TW"/>
              </w:rPr>
              <w:lastRenderedPageBreak/>
              <w:t>#5 (</w:t>
            </w:r>
            <w:r>
              <w:rPr>
                <w:rFonts w:eastAsiaTheme="minorEastAsia"/>
                <w:lang w:val="en-GB" w:eastAsia="zh-TW"/>
              </w:rPr>
              <w:t>U</w:t>
            </w:r>
            <w:r w:rsidRPr="00544A1A">
              <w:rPr>
                <w:rFonts w:eastAsiaTheme="minorEastAsia"/>
                <w:lang w:val="en-GB" w:eastAsia="zh-TW"/>
              </w:rPr>
              <w:t xml:space="preserve">rban </w:t>
            </w:r>
            <w:r>
              <w:rPr>
                <w:rFonts w:eastAsiaTheme="minorEastAsia"/>
                <w:lang w:val="en-GB" w:eastAsia="zh-TW"/>
              </w:rPr>
              <w:t>I</w:t>
            </w:r>
            <w:r w:rsidRPr="00544A1A">
              <w:rPr>
                <w:rFonts w:eastAsiaTheme="minorEastAsia"/>
                <w:lang w:val="en-GB" w:eastAsia="zh-TW"/>
              </w:rPr>
              <w:t>ntersection)</w:t>
            </w:r>
          </w:p>
        </w:tc>
        <w:tc>
          <w:tcPr>
            <w:tcW w:w="1418"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w:t>
            </w:r>
          </w:p>
        </w:tc>
      </w:tr>
      <w:tr w:rsidR="00544A1A" w:rsidRPr="00544A1A" w:rsidTr="00544A1A">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rPr>
                <w:rFonts w:eastAsiaTheme="minorEastAsia"/>
                <w:lang w:eastAsia="zh-TW"/>
              </w:rPr>
            </w:pPr>
            <w:r w:rsidRPr="00544A1A">
              <w:rPr>
                <w:rFonts w:eastAsiaTheme="minorEastAsia"/>
                <w:lang w:val="en-GB" w:eastAsia="zh-TW"/>
              </w:rPr>
              <w:t>#6 (</w:t>
            </w:r>
            <w:r>
              <w:rPr>
                <w:rFonts w:eastAsiaTheme="minorEastAsia"/>
                <w:lang w:val="en-GB" w:eastAsia="zh-TW"/>
              </w:rPr>
              <w:t>C</w:t>
            </w:r>
            <w:r w:rsidRPr="00544A1A">
              <w:rPr>
                <w:rFonts w:eastAsiaTheme="minorEastAsia"/>
                <w:lang w:val="en-GB" w:eastAsia="zh-TW"/>
              </w:rPr>
              <w:t>ampus/</w:t>
            </w:r>
            <w:r>
              <w:rPr>
                <w:rFonts w:eastAsiaTheme="minorEastAsia"/>
                <w:lang w:val="en-GB" w:eastAsia="zh-TW"/>
              </w:rPr>
              <w:t>S</w:t>
            </w:r>
            <w:r w:rsidRPr="00544A1A">
              <w:rPr>
                <w:rFonts w:eastAsiaTheme="minorEastAsia"/>
                <w:lang w:val="en-GB" w:eastAsia="zh-TW"/>
              </w:rPr>
              <w:t xml:space="preserve">hopping </w:t>
            </w:r>
            <w:r>
              <w:rPr>
                <w:rFonts w:eastAsiaTheme="minorEastAsia"/>
                <w:lang w:val="en-GB" w:eastAsia="zh-TW"/>
              </w:rPr>
              <w:t>A</w:t>
            </w:r>
            <w:r w:rsidRPr="00544A1A">
              <w:rPr>
                <w:rFonts w:eastAsiaTheme="minorEastAsia"/>
                <w:lang w:val="en-GB" w:eastAsia="zh-TW"/>
              </w:rPr>
              <w:t>rea)</w:t>
            </w:r>
          </w:p>
        </w:tc>
        <w:tc>
          <w:tcPr>
            <w:tcW w:w="1418"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544A1A" w:rsidRPr="00544A1A" w:rsidRDefault="00544A1A" w:rsidP="00544A1A">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544A1A" w:rsidRPr="00544A1A" w:rsidTr="00544A1A">
        <w:trPr>
          <w:cnfStyle w:val="000000100000" w:firstRow="0" w:lastRow="0" w:firstColumn="0" w:lastColumn="0" w:oddVBand="0" w:evenVBand="0" w:oddHBand="1" w:evenHBand="0" w:firstRowFirstColumn="0" w:firstRowLastColumn="0" w:lastRowFirstColumn="0" w:lastRowLastColumn="0"/>
          <w:trHeight w:val="198"/>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544A1A" w:rsidRPr="00544A1A" w:rsidRDefault="00544A1A" w:rsidP="00544A1A">
            <w:pPr>
              <w:jc w:val="both"/>
              <w:rPr>
                <w:rFonts w:eastAsiaTheme="minorEastAsia"/>
                <w:lang w:eastAsia="zh-TW"/>
              </w:rPr>
            </w:pPr>
            <w:r w:rsidRPr="00544A1A">
              <w:rPr>
                <w:rFonts w:eastAsiaTheme="minorEastAsia"/>
                <w:lang w:val="en-GB" w:eastAsia="zh-TW"/>
              </w:rPr>
              <w:t xml:space="preserve">#7 Imminent </w:t>
            </w:r>
            <w:r>
              <w:rPr>
                <w:rFonts w:eastAsiaTheme="minorEastAsia"/>
                <w:lang w:val="en-GB" w:eastAsia="zh-TW"/>
              </w:rPr>
              <w:t>C</w:t>
            </w:r>
            <w:r w:rsidRPr="00544A1A">
              <w:rPr>
                <w:rFonts w:eastAsiaTheme="minorEastAsia"/>
                <w:lang w:val="en-GB" w:eastAsia="zh-TW"/>
              </w:rPr>
              <w:t xml:space="preserve">rash </w:t>
            </w:r>
          </w:p>
        </w:tc>
        <w:tc>
          <w:tcPr>
            <w:tcW w:w="1418"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20</w:t>
            </w:r>
          </w:p>
        </w:tc>
        <w:tc>
          <w:tcPr>
            <w:tcW w:w="1275" w:type="dxa"/>
            <w:hideMark/>
          </w:tcPr>
          <w:p w:rsidR="00544A1A" w:rsidRPr="00544A1A" w:rsidRDefault="00544A1A" w:rsidP="00544A1A">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w:t>
            </w:r>
          </w:p>
        </w:tc>
      </w:tr>
    </w:tbl>
    <w:p w:rsidR="00241C45" w:rsidRDefault="00241C45" w:rsidP="00401321">
      <w:pPr>
        <w:jc w:val="both"/>
        <w:rPr>
          <w:rFonts w:eastAsiaTheme="minorEastAsia"/>
          <w:lang w:val="en-GB" w:eastAsia="zh-TW"/>
        </w:rPr>
      </w:pPr>
    </w:p>
    <w:p w:rsidR="005626E5" w:rsidRDefault="005626E5" w:rsidP="00401321">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In NR V2X design, the latency and reliability requirements are the major concerns.</w:t>
      </w:r>
    </w:p>
    <w:p w:rsidR="005626E5" w:rsidRDefault="005626E5" w:rsidP="00401321">
      <w:pPr>
        <w:jc w:val="both"/>
        <w:rPr>
          <w:rFonts w:eastAsiaTheme="minorEastAsia"/>
          <w:lang w:val="en-GB" w:eastAsia="zh-TW"/>
        </w:rPr>
      </w:pPr>
      <w:r>
        <w:rPr>
          <w:rFonts w:eastAsiaTheme="minorEastAsia"/>
          <w:lang w:val="en-GB" w:eastAsia="zh-TW"/>
        </w:rPr>
        <w:t xml:space="preserve">In the following subsections, we would like to consider the design of NR </w:t>
      </w:r>
      <w:proofErr w:type="spellStart"/>
      <w:r>
        <w:rPr>
          <w:rFonts w:eastAsiaTheme="minorEastAsia"/>
          <w:lang w:val="en-GB" w:eastAsia="zh-TW"/>
        </w:rPr>
        <w:t>sidelink</w:t>
      </w:r>
      <w:proofErr w:type="spellEnd"/>
      <w:r>
        <w:rPr>
          <w:rFonts w:eastAsiaTheme="minorEastAsia"/>
          <w:lang w:val="en-GB" w:eastAsia="zh-TW"/>
        </w:rPr>
        <w:t xml:space="preserve"> design from different aspects.</w:t>
      </w:r>
    </w:p>
    <w:p w:rsidR="005626E5" w:rsidRDefault="005626E5" w:rsidP="005626E5">
      <w:pPr>
        <w:pStyle w:val="Heading2"/>
        <w:rPr>
          <w:lang w:eastAsia="zh-TW"/>
        </w:rPr>
      </w:pPr>
      <w:r>
        <w:rPr>
          <w:lang w:eastAsia="zh-TW"/>
        </w:rPr>
        <w:t>Waveform</w:t>
      </w:r>
    </w:p>
    <w:p w:rsidR="005626E5" w:rsidRDefault="005626E5" w:rsidP="00401321">
      <w:pPr>
        <w:jc w:val="both"/>
        <w:rPr>
          <w:rFonts w:eastAsiaTheme="minorEastAsia"/>
          <w:lang w:val="en-GB" w:eastAsia="zh-TW"/>
        </w:rPr>
      </w:pPr>
      <w:r>
        <w:rPr>
          <w:rFonts w:eastAsiaTheme="minorEastAsia"/>
          <w:lang w:val="en-GB" w:eastAsia="zh-TW"/>
        </w:rPr>
        <w:t xml:space="preserve">The waveform of </w:t>
      </w:r>
      <w:proofErr w:type="spellStart"/>
      <w:r>
        <w:rPr>
          <w:rFonts w:eastAsiaTheme="minorEastAsia"/>
          <w:lang w:val="en-GB" w:eastAsia="zh-TW"/>
        </w:rPr>
        <w:t>sidelink</w:t>
      </w:r>
      <w:proofErr w:type="spellEnd"/>
      <w:r>
        <w:rPr>
          <w:rFonts w:eastAsiaTheme="minorEastAsia"/>
          <w:lang w:val="en-GB" w:eastAsia="zh-TW"/>
        </w:rPr>
        <w:t xml:space="preserve"> can use the same as that of UL transmission. In LTE V2X, DFT-s-OFDM is used as the </w:t>
      </w:r>
      <w:proofErr w:type="spellStart"/>
      <w:r>
        <w:rPr>
          <w:rFonts w:eastAsiaTheme="minorEastAsia"/>
          <w:lang w:val="en-GB" w:eastAsia="zh-TW"/>
        </w:rPr>
        <w:t>sidelink</w:t>
      </w:r>
      <w:proofErr w:type="spellEnd"/>
      <w:r>
        <w:rPr>
          <w:rFonts w:eastAsiaTheme="minorEastAsia"/>
          <w:lang w:val="en-GB" w:eastAsia="zh-TW"/>
        </w:rPr>
        <w:t xml:space="preserve"> waveform, for DFT-s-OFDM is also used in LTE UL. However, two waveforms OFDM and DFT-s-OFDM are defined in NR UL.  The advantage of DFT-s-OFDM is low peak-to-average-power ratio (PAPR), which is beneficial to cell edge users and lower power consumption. But the demodulation performance of DFT-s-OFDM is worse than that of OFDM about 2-3</w:t>
      </w:r>
      <w:r w:rsidR="00CB142E">
        <w:rPr>
          <w:rFonts w:eastAsiaTheme="minorEastAsia"/>
          <w:lang w:val="en-GB" w:eastAsia="zh-TW"/>
        </w:rPr>
        <w:t xml:space="preserve"> </w:t>
      </w:r>
      <w:r>
        <w:rPr>
          <w:rFonts w:eastAsiaTheme="minorEastAsia"/>
          <w:lang w:val="en-GB" w:eastAsia="zh-TW"/>
        </w:rPr>
        <w:t xml:space="preserve">dB and then the low PAPR merit is limited. The advantages of OFDM are flexible scheduling, high resistance of frequency selective fading and spatial multiplexing support. It seems OFDM is better than DFT-s-OFDM and can be chosen as the waveform of NR V2X </w:t>
      </w:r>
      <w:proofErr w:type="spellStart"/>
      <w:r>
        <w:rPr>
          <w:rFonts w:eastAsiaTheme="minorEastAsia"/>
          <w:lang w:val="en-GB" w:eastAsia="zh-TW"/>
        </w:rPr>
        <w:t>sidelink</w:t>
      </w:r>
      <w:proofErr w:type="spellEnd"/>
      <w:r>
        <w:rPr>
          <w:rFonts w:eastAsiaTheme="minorEastAsia"/>
          <w:lang w:val="en-GB" w:eastAsia="zh-TW"/>
        </w:rPr>
        <w:t>.</w:t>
      </w:r>
    </w:p>
    <w:p w:rsidR="005626E5" w:rsidRDefault="005626E5" w:rsidP="005626E5">
      <w:pPr>
        <w:jc w:val="both"/>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OFDM should be adopted in NR V2X </w:t>
      </w:r>
      <w:proofErr w:type="spellStart"/>
      <w:r>
        <w:rPr>
          <w:rFonts w:eastAsiaTheme="minorEastAsia"/>
          <w:lang w:val="en-GB" w:eastAsia="zh-TW"/>
        </w:rPr>
        <w:t>sidelink</w:t>
      </w:r>
      <w:proofErr w:type="spellEnd"/>
      <w:r>
        <w:rPr>
          <w:rFonts w:eastAsiaTheme="minorEastAsia"/>
          <w:lang w:val="en-GB" w:eastAsia="zh-TW"/>
        </w:rPr>
        <w:t>.</w:t>
      </w:r>
    </w:p>
    <w:p w:rsidR="005626E5" w:rsidRDefault="005626E5" w:rsidP="005626E5">
      <w:pPr>
        <w:pStyle w:val="Heading2"/>
        <w:rPr>
          <w:lang w:eastAsia="zh-TW"/>
        </w:rPr>
      </w:pPr>
      <w:r>
        <w:rPr>
          <w:lang w:eastAsia="zh-TW"/>
        </w:rPr>
        <w:t>Subcarrier Spacing</w:t>
      </w:r>
      <w:r w:rsidR="00241C45">
        <w:rPr>
          <w:lang w:eastAsia="zh-TW"/>
        </w:rPr>
        <w:t xml:space="preserve"> and Slot Duration</w:t>
      </w:r>
    </w:p>
    <w:p w:rsidR="005626E5" w:rsidRPr="00241C45" w:rsidRDefault="00241C45" w:rsidP="005626E5">
      <w:pPr>
        <w:jc w:val="both"/>
        <w:rPr>
          <w:rFonts w:eastAsiaTheme="minorEastAsia"/>
          <w:lang w:eastAsia="zh-TW"/>
        </w:rPr>
      </w:pPr>
      <w:r>
        <w:rPr>
          <w:rFonts w:eastAsiaTheme="minorEastAsia"/>
          <w:lang w:val="en-GB" w:eastAsia="zh-TW"/>
        </w:rPr>
        <w:t>S</w:t>
      </w:r>
      <w:r w:rsidR="005626E5">
        <w:rPr>
          <w:rFonts w:eastAsiaTheme="minorEastAsia"/>
          <w:lang w:val="en-GB" w:eastAsia="zh-TW"/>
        </w:rPr>
        <w:t>everal subcarrier spacing</w:t>
      </w:r>
      <w:r>
        <w:rPr>
          <w:rFonts w:eastAsiaTheme="minorEastAsia"/>
          <w:lang w:val="en-GB" w:eastAsia="zh-TW"/>
        </w:rPr>
        <w:t xml:space="preserve"> (SCS), 15 kHz (FR1), 30 kHz (FR1), 60kHz (FR1/2), 120 kHz (FR2), are</w:t>
      </w:r>
      <w:r w:rsidR="005626E5">
        <w:rPr>
          <w:rFonts w:eastAsiaTheme="minorEastAsia"/>
          <w:lang w:val="en-GB" w:eastAsia="zh-TW"/>
        </w:rPr>
        <w:t xml:space="preserve"> </w:t>
      </w:r>
      <w:r>
        <w:rPr>
          <w:rFonts w:eastAsiaTheme="minorEastAsia"/>
          <w:lang w:val="en-GB" w:eastAsia="zh-TW"/>
        </w:rPr>
        <w:t xml:space="preserve">supported in NR </w:t>
      </w:r>
      <w:proofErr w:type="spellStart"/>
      <w:r>
        <w:rPr>
          <w:rFonts w:eastAsiaTheme="minorEastAsia"/>
          <w:lang w:val="en-GB" w:eastAsia="zh-TW"/>
        </w:rPr>
        <w:t>eMBB</w:t>
      </w:r>
      <w:proofErr w:type="spellEnd"/>
      <w:r>
        <w:rPr>
          <w:rFonts w:eastAsiaTheme="minorEastAsia"/>
          <w:lang w:val="en-GB" w:eastAsia="zh-TW"/>
        </w:rPr>
        <w:t xml:space="preserve"> data transmission, which are corresponding to slot durations of 1 </w:t>
      </w:r>
      <w:proofErr w:type="spellStart"/>
      <w:r>
        <w:rPr>
          <w:rFonts w:eastAsiaTheme="minorEastAsia"/>
          <w:lang w:val="en-GB" w:eastAsia="zh-TW"/>
        </w:rPr>
        <w:t>ms</w:t>
      </w:r>
      <w:proofErr w:type="spellEnd"/>
      <w:r>
        <w:rPr>
          <w:rFonts w:eastAsiaTheme="minorEastAsia"/>
          <w:lang w:val="en-GB" w:eastAsia="zh-TW"/>
        </w:rPr>
        <w:t xml:space="preserve">, 0.5 </w:t>
      </w:r>
      <w:proofErr w:type="spellStart"/>
      <w:r>
        <w:rPr>
          <w:rFonts w:eastAsiaTheme="minorEastAsia"/>
          <w:lang w:val="en-GB" w:eastAsia="zh-TW"/>
        </w:rPr>
        <w:t>ms</w:t>
      </w:r>
      <w:proofErr w:type="spellEnd"/>
      <w:r>
        <w:rPr>
          <w:rFonts w:eastAsiaTheme="minorEastAsia"/>
          <w:lang w:val="en-GB" w:eastAsia="zh-TW"/>
        </w:rPr>
        <w:t xml:space="preserve">, 0.25 </w:t>
      </w:r>
      <w:proofErr w:type="spellStart"/>
      <w:r>
        <w:rPr>
          <w:rFonts w:eastAsiaTheme="minorEastAsia"/>
          <w:lang w:val="en-GB" w:eastAsia="zh-TW"/>
        </w:rPr>
        <w:t>ms</w:t>
      </w:r>
      <w:proofErr w:type="spellEnd"/>
      <w:r>
        <w:rPr>
          <w:rFonts w:eastAsiaTheme="minorEastAsia"/>
          <w:lang w:val="en-GB" w:eastAsia="zh-TW"/>
        </w:rPr>
        <w:t xml:space="preserve">, 0.125 </w:t>
      </w:r>
      <w:proofErr w:type="spellStart"/>
      <w:r>
        <w:rPr>
          <w:rFonts w:eastAsiaTheme="minorEastAsia"/>
          <w:lang w:val="en-GB" w:eastAsia="zh-TW"/>
        </w:rPr>
        <w:t>ms</w:t>
      </w:r>
      <w:proofErr w:type="spellEnd"/>
      <w:r>
        <w:rPr>
          <w:rFonts w:eastAsiaTheme="minorEastAsia"/>
          <w:lang w:val="en-GB" w:eastAsia="zh-TW"/>
        </w:rPr>
        <w:t xml:space="preserve">. Larger SCS would result smaller slot duration, which is favourable to low latency. Under same bandwidth, larger SCS with smaller slot duration can provide less payload size within one slot. Therefore, to provide same or larger payload size under one slot needs more bandwidth. If different SCS are supported in NR </w:t>
      </w:r>
      <w:proofErr w:type="spellStart"/>
      <w:r>
        <w:rPr>
          <w:rFonts w:eastAsiaTheme="minorEastAsia"/>
          <w:lang w:val="en-GB" w:eastAsia="zh-TW"/>
        </w:rPr>
        <w:t>sidelink</w:t>
      </w:r>
      <w:proofErr w:type="spellEnd"/>
      <w:r>
        <w:rPr>
          <w:rFonts w:eastAsiaTheme="minorEastAsia"/>
          <w:lang w:val="en-GB" w:eastAsia="zh-TW"/>
        </w:rPr>
        <w:t xml:space="preserve">, UE should detect the SCS before decoding and result higher decoding complexity and latency. A fixed SCS in NR </w:t>
      </w:r>
      <w:proofErr w:type="spellStart"/>
      <w:r>
        <w:rPr>
          <w:rFonts w:eastAsiaTheme="minorEastAsia"/>
          <w:lang w:val="en-GB" w:eastAsia="zh-TW"/>
        </w:rPr>
        <w:t>sidelink</w:t>
      </w:r>
      <w:proofErr w:type="spellEnd"/>
      <w:r>
        <w:rPr>
          <w:rFonts w:eastAsiaTheme="minorEastAsia"/>
          <w:lang w:val="en-GB" w:eastAsia="zh-TW"/>
        </w:rPr>
        <w:t xml:space="preserve"> would be more preferable. From the evaluation of LTE V2X, 15 kHz can support 10 </w:t>
      </w:r>
      <w:proofErr w:type="spellStart"/>
      <w:r>
        <w:rPr>
          <w:rFonts w:eastAsiaTheme="minorEastAsia"/>
          <w:lang w:val="en-GB" w:eastAsia="zh-TW"/>
        </w:rPr>
        <w:t>ms</w:t>
      </w:r>
      <w:proofErr w:type="spellEnd"/>
      <w:r>
        <w:rPr>
          <w:rFonts w:eastAsiaTheme="minorEastAsia"/>
          <w:lang w:val="en-GB" w:eastAsia="zh-TW"/>
        </w:rPr>
        <w:t xml:space="preserve"> latency. Whether SCS above 30 kHz can support 3ms latency and maximum supported bandwidth should be further evaluated.</w:t>
      </w:r>
    </w:p>
    <w:p w:rsidR="00241C45" w:rsidRDefault="00241C45" w:rsidP="00241C45">
      <w:pPr>
        <w:jc w:val="both"/>
        <w:rPr>
          <w:rFonts w:eastAsiaTheme="minorEastAsia"/>
          <w:lang w:val="en-GB" w:eastAsia="zh-TW"/>
        </w:rPr>
      </w:pPr>
      <w:r>
        <w:rPr>
          <w:rFonts w:eastAsia="新細明體"/>
          <w:b/>
          <w:u w:val="single"/>
          <w:lang w:eastAsia="zh-TW"/>
        </w:rPr>
        <w:t>Proposal 2</w:t>
      </w:r>
      <w:r w:rsidRPr="00143FF3">
        <w:rPr>
          <w:rFonts w:eastAsia="新細明體"/>
          <w:b/>
          <w:u w:val="single"/>
          <w:lang w:eastAsia="zh-TW"/>
        </w:rPr>
        <w:t>:</w:t>
      </w:r>
      <w:r>
        <w:rPr>
          <w:rFonts w:eastAsiaTheme="minorEastAsia"/>
          <w:lang w:val="en-GB" w:eastAsia="zh-TW"/>
        </w:rPr>
        <w:t xml:space="preserve"> The value of fixed subcarrier spacing and maximum supported bandwidth in NR V2X </w:t>
      </w:r>
      <w:proofErr w:type="spellStart"/>
      <w:r>
        <w:rPr>
          <w:rFonts w:eastAsiaTheme="minorEastAsia"/>
          <w:lang w:val="en-GB" w:eastAsia="zh-TW"/>
        </w:rPr>
        <w:t>sidelink</w:t>
      </w:r>
      <w:proofErr w:type="spellEnd"/>
      <w:r>
        <w:rPr>
          <w:rFonts w:eastAsiaTheme="minorEastAsia"/>
          <w:lang w:val="en-GB" w:eastAsia="zh-TW"/>
        </w:rPr>
        <w:t xml:space="preserve"> should be further evaluated.</w:t>
      </w:r>
    </w:p>
    <w:p w:rsidR="00241C45" w:rsidRDefault="00241C45" w:rsidP="00241C45">
      <w:pPr>
        <w:pStyle w:val="Heading2"/>
        <w:rPr>
          <w:lang w:eastAsia="zh-TW"/>
        </w:rPr>
      </w:pPr>
      <w:r>
        <w:rPr>
          <w:lang w:eastAsia="zh-TW"/>
        </w:rPr>
        <w:t>Resource Allocation</w:t>
      </w:r>
    </w:p>
    <w:p w:rsidR="00241C45" w:rsidRDefault="00241C45" w:rsidP="00241C45">
      <w:pPr>
        <w:jc w:val="both"/>
        <w:rPr>
          <w:rFonts w:eastAsiaTheme="minorEastAsia"/>
          <w:lang w:val="en-GB" w:eastAsia="zh-TW"/>
        </w:rPr>
      </w:pPr>
      <w:r>
        <w:rPr>
          <w:rFonts w:eastAsiaTheme="minorEastAsia"/>
          <w:lang w:val="en-GB" w:eastAsia="zh-TW"/>
        </w:rPr>
        <w:t xml:space="preserve">In Fig. 1, two resource allocation schemes of physical </w:t>
      </w:r>
      <w:proofErr w:type="spellStart"/>
      <w:r>
        <w:rPr>
          <w:rFonts w:eastAsiaTheme="minorEastAsia"/>
          <w:lang w:val="en-GB" w:eastAsia="zh-TW"/>
        </w:rPr>
        <w:t>sidelink</w:t>
      </w:r>
      <w:proofErr w:type="spellEnd"/>
      <w:r>
        <w:rPr>
          <w:rFonts w:eastAsiaTheme="minorEastAsia"/>
          <w:lang w:val="en-GB" w:eastAsia="zh-TW"/>
        </w:rPr>
        <w:t xml:space="preserve"> control channel (PSCCH) and physical </w:t>
      </w:r>
      <w:proofErr w:type="spellStart"/>
      <w:r>
        <w:rPr>
          <w:rFonts w:eastAsiaTheme="minorEastAsia"/>
          <w:lang w:val="en-GB" w:eastAsia="zh-TW"/>
        </w:rPr>
        <w:t>sidelink</w:t>
      </w:r>
      <w:proofErr w:type="spellEnd"/>
      <w:r>
        <w:rPr>
          <w:rFonts w:eastAsiaTheme="minorEastAsia"/>
          <w:lang w:val="en-GB" w:eastAsia="zh-TW"/>
        </w:rPr>
        <w:t xml:space="preserve"> shared channel are shown. A carrier bandwidth can be divided into several </w:t>
      </w:r>
      <w:proofErr w:type="spellStart"/>
      <w:r>
        <w:rPr>
          <w:rFonts w:eastAsiaTheme="minorEastAsia"/>
          <w:lang w:val="en-GB" w:eastAsia="zh-TW"/>
        </w:rPr>
        <w:t>subchannels</w:t>
      </w:r>
      <w:proofErr w:type="spellEnd"/>
      <w:r>
        <w:rPr>
          <w:rFonts w:eastAsiaTheme="minorEastAsia"/>
          <w:lang w:val="en-GB" w:eastAsia="zh-TW"/>
        </w:rPr>
        <w:t xml:space="preserve"> (4 in Fig. 1), where </w:t>
      </w:r>
      <w:proofErr w:type="spellStart"/>
      <w:r>
        <w:rPr>
          <w:rFonts w:eastAsiaTheme="minorEastAsia"/>
          <w:lang w:val="en-GB" w:eastAsia="zh-TW"/>
        </w:rPr>
        <w:t>subchannel</w:t>
      </w:r>
      <w:proofErr w:type="spellEnd"/>
      <w:r>
        <w:rPr>
          <w:rFonts w:eastAsiaTheme="minorEastAsia"/>
          <w:lang w:val="en-GB" w:eastAsia="zh-TW"/>
        </w:rPr>
        <w:t xml:space="preserve"> is the resource unit for PSSCH. Red box indicates the possible PSCCH resource and blue box indicates the possible PSSCH resource. If some </w:t>
      </w:r>
      <w:proofErr w:type="spellStart"/>
      <w:r>
        <w:rPr>
          <w:rFonts w:eastAsiaTheme="minorEastAsia"/>
          <w:lang w:val="en-GB" w:eastAsia="zh-TW"/>
        </w:rPr>
        <w:t>subchannels</w:t>
      </w:r>
      <w:proofErr w:type="spellEnd"/>
      <w:r>
        <w:rPr>
          <w:rFonts w:eastAsiaTheme="minorEastAsia"/>
          <w:lang w:val="en-GB" w:eastAsia="zh-TW"/>
        </w:rPr>
        <w:t xml:space="preserve"> are scheduled for PSSCH, PSCCH would be allocated at the starting of the </w:t>
      </w:r>
      <w:proofErr w:type="spellStart"/>
      <w:r>
        <w:rPr>
          <w:rFonts w:eastAsiaTheme="minorEastAsia"/>
          <w:lang w:val="en-GB" w:eastAsia="zh-TW"/>
        </w:rPr>
        <w:t>subchannels</w:t>
      </w:r>
      <w:proofErr w:type="spellEnd"/>
      <w:r>
        <w:rPr>
          <w:rFonts w:eastAsiaTheme="minorEastAsia"/>
          <w:lang w:val="en-GB" w:eastAsia="zh-TW"/>
        </w:rPr>
        <w:t xml:space="preserve"> as shown</w:t>
      </w:r>
      <w:r w:rsidR="00D878CA">
        <w:rPr>
          <w:rFonts w:eastAsiaTheme="minorEastAsia"/>
          <w:lang w:val="en-GB" w:eastAsia="zh-TW"/>
        </w:rPr>
        <w:t xml:space="preserve"> in Fig. 1</w:t>
      </w:r>
      <w:r>
        <w:rPr>
          <w:rFonts w:eastAsiaTheme="minorEastAsia"/>
          <w:lang w:val="en-GB" w:eastAsia="zh-TW"/>
        </w:rPr>
        <w:t>. Fig. 1 (a) is the legacy LTE V2X resource allocation scheme with adjacent PSCCH and PSSCH. PSCCH occupies two RBs and PSSCH occupies the left resource. In other words, PSCCH and PSSCH share the resource in frequency-division multiplexing (FDM). Fig. 1 (b) shows another resource allocation scheme, which PSCCH and PSSCH share the resource in time-division multiplexing (TDM). The detailed description of resource allocation schemes can be referred to [4]. In terms of latency requirement, which resource allocation scheme can meet the requirement should be further evaluated.</w:t>
      </w:r>
    </w:p>
    <w:p w:rsidR="00241C45" w:rsidRDefault="00241C45" w:rsidP="00241C45">
      <w:pPr>
        <w:jc w:val="both"/>
        <w:rPr>
          <w:rFonts w:eastAsiaTheme="minorEastAsia"/>
          <w:lang w:val="en-GB" w:eastAsia="zh-TW"/>
        </w:rPr>
      </w:pPr>
      <w:r>
        <w:rPr>
          <w:rFonts w:eastAsia="新細明體"/>
          <w:b/>
          <w:u w:val="single"/>
          <w:lang w:eastAsia="zh-TW"/>
        </w:rPr>
        <w:lastRenderedPageBreak/>
        <w:t>Proposal 3</w:t>
      </w:r>
      <w:r w:rsidRPr="00143FF3">
        <w:rPr>
          <w:rFonts w:eastAsia="新細明體"/>
          <w:b/>
          <w:u w:val="single"/>
          <w:lang w:eastAsia="zh-TW"/>
        </w:rPr>
        <w:t>:</w:t>
      </w:r>
      <w:r>
        <w:rPr>
          <w:rFonts w:eastAsiaTheme="minorEastAsia"/>
          <w:lang w:val="en-GB" w:eastAsia="zh-TW"/>
        </w:rPr>
        <w:t xml:space="preserve"> The resource allocation of PSCCH and PSSCH is FDM or TDM should be further evaluated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E50B12" w:rsidRDefault="00B11AA2" w:rsidP="00E50B12">
      <w:pPr>
        <w:jc w:val="center"/>
      </w:pPr>
      <w:r w:rsidRPr="00EA3743">
        <w:rPr>
          <w:noProof/>
          <w:lang w:eastAsia="zh-TW"/>
        </w:rPr>
        <w:drawing>
          <wp:inline distT="0" distB="0" distL="0" distR="0" wp14:anchorId="23986761" wp14:editId="28C2B581">
            <wp:extent cx="2800800" cy="239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800" cy="2394000"/>
                    </a:xfrm>
                    <a:prstGeom prst="rect">
                      <a:avLst/>
                    </a:prstGeom>
                    <a:noFill/>
                    <a:ln>
                      <a:noFill/>
                    </a:ln>
                  </pic:spPr>
                </pic:pic>
              </a:graphicData>
            </a:graphic>
          </wp:inline>
        </w:drawing>
      </w:r>
      <w:r w:rsidRPr="00EA3743">
        <w:rPr>
          <w:noProof/>
          <w:lang w:eastAsia="zh-TW"/>
        </w:rPr>
        <w:drawing>
          <wp:inline distT="0" distB="0" distL="0" distR="0" wp14:anchorId="63A8CD19" wp14:editId="5DD129D2">
            <wp:extent cx="3224784" cy="2420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5624" cy="2436212"/>
                    </a:xfrm>
                    <a:prstGeom prst="rect">
                      <a:avLst/>
                    </a:prstGeom>
                    <a:noFill/>
                    <a:ln>
                      <a:noFill/>
                    </a:ln>
                  </pic:spPr>
                </pic:pic>
              </a:graphicData>
            </a:graphic>
          </wp:inline>
        </w:drawing>
      </w:r>
    </w:p>
    <w:p w:rsidR="00B11AA2" w:rsidRPr="00B11AA2" w:rsidRDefault="00B11AA2" w:rsidP="00E50B12">
      <w:pPr>
        <w:jc w:val="center"/>
      </w:pPr>
      <w:r w:rsidRPr="00B11AA2">
        <w:t xml:space="preserve">(a) </w:t>
      </w:r>
      <w:r w:rsidRPr="00B11AA2">
        <w:tab/>
      </w:r>
      <w:r w:rsidRPr="00B11AA2">
        <w:tab/>
      </w:r>
      <w:r w:rsidRPr="00B11AA2">
        <w:tab/>
      </w:r>
      <w:r w:rsidRPr="00B11AA2">
        <w:tab/>
      </w:r>
      <w:r w:rsidRPr="00B11AA2">
        <w:tab/>
      </w:r>
      <w:r w:rsidRPr="00B11AA2">
        <w:tab/>
      </w:r>
      <w:r w:rsidRPr="00B11AA2">
        <w:tab/>
      </w:r>
      <w:r w:rsidRPr="00B11AA2">
        <w:tab/>
      </w:r>
      <w:r w:rsidRPr="00B11AA2">
        <w:tab/>
      </w:r>
      <w:r>
        <w:tab/>
      </w:r>
      <w:r>
        <w:tab/>
      </w:r>
      <w:r w:rsidRPr="00B11AA2">
        <w:tab/>
      </w:r>
      <w:r w:rsidRPr="00B11AA2">
        <w:tab/>
      </w:r>
      <w:r w:rsidRPr="00B11AA2">
        <w:tab/>
      </w:r>
      <w:r w:rsidRPr="00B11AA2">
        <w:tab/>
      </w:r>
      <w:r w:rsidRPr="00B11AA2">
        <w:tab/>
        <w:t>(</w:t>
      </w:r>
      <w:proofErr w:type="gramStart"/>
      <w:r w:rsidRPr="00B11AA2">
        <w:t>b</w:t>
      </w:r>
      <w:proofErr w:type="gramEnd"/>
      <w:r w:rsidRPr="00B11AA2">
        <w:t>)</w:t>
      </w:r>
    </w:p>
    <w:p w:rsidR="00E50B12" w:rsidRDefault="00E50B12" w:rsidP="00E50B12">
      <w:pPr>
        <w:jc w:val="center"/>
        <w:rPr>
          <w:rFonts w:eastAsiaTheme="minorEastAsia"/>
          <w:lang w:eastAsia="zh-TW"/>
        </w:rPr>
      </w:pPr>
      <w:r w:rsidRPr="0058132C">
        <w:rPr>
          <w:b/>
        </w:rPr>
        <w:t xml:space="preserve">Figure 1. </w:t>
      </w:r>
      <w:r w:rsidR="00B11AA2">
        <w:rPr>
          <w:rFonts w:eastAsiaTheme="minorEastAsia"/>
          <w:lang w:eastAsia="zh-TW"/>
        </w:rPr>
        <w:t>Control and data channels resource allocation schemes.</w:t>
      </w:r>
    </w:p>
    <w:p w:rsidR="00544A1A" w:rsidRDefault="00544A1A" w:rsidP="00544A1A">
      <w:pPr>
        <w:pStyle w:val="Heading2"/>
        <w:rPr>
          <w:lang w:eastAsia="zh-TW"/>
        </w:rPr>
      </w:pPr>
      <w:r>
        <w:rPr>
          <w:lang w:eastAsia="zh-TW"/>
        </w:rPr>
        <w:t>Mini-Slot Structure</w:t>
      </w:r>
    </w:p>
    <w:p w:rsidR="00544A1A" w:rsidRDefault="00544A1A" w:rsidP="00544A1A">
      <w:pPr>
        <w:jc w:val="both"/>
      </w:pPr>
      <w:r>
        <w:t xml:space="preserve">In NR </w:t>
      </w:r>
      <w:proofErr w:type="spellStart"/>
      <w:r>
        <w:t>eMBB</w:t>
      </w:r>
      <w:proofErr w:type="spellEnd"/>
      <w:r>
        <w:t xml:space="preserve">, mini-slot structure is one of the major features. Currently, 2, 4, 7 symbols to form a mini-slot are supported. Mini-slot can provide shorter latency in some applications, especially in SCS 15 kHz. 7 symbols within one mini-slot and SCS 15 kHz can be achieved by one normal slot within SCS 30 kHz. That is, the benefit of mini-slot can be obtained by increasing the SCS. Since </w:t>
      </w:r>
      <w:proofErr w:type="spellStart"/>
      <w:r>
        <w:t>sidelink</w:t>
      </w:r>
      <w:proofErr w:type="spellEnd"/>
      <w:r>
        <w:t xml:space="preserve"> is broadcasting communication, one fixed configuration would be better to lower down the complexity of decoding without blind detection of mini-slot structure. Therefore, mini-slot structure needs not to be considered in NR V2X</w:t>
      </w:r>
      <w:r w:rsidR="00E36C49">
        <w:t xml:space="preserve"> </w:t>
      </w:r>
      <w:proofErr w:type="spellStart"/>
      <w:r w:rsidR="00E36C49">
        <w:t>sidelink</w:t>
      </w:r>
      <w:proofErr w:type="spellEnd"/>
      <w:r>
        <w:t>.</w:t>
      </w:r>
    </w:p>
    <w:p w:rsidR="00544A1A" w:rsidRPr="00544A1A" w:rsidRDefault="00544A1A" w:rsidP="00544A1A">
      <w:pPr>
        <w:jc w:val="both"/>
      </w:pPr>
      <w:r>
        <w:rPr>
          <w:rFonts w:eastAsia="新細明體"/>
          <w:b/>
          <w:u w:val="single"/>
          <w:lang w:eastAsia="zh-TW"/>
        </w:rPr>
        <w:t>Proposal 4</w:t>
      </w:r>
      <w:r w:rsidRPr="00143FF3">
        <w:rPr>
          <w:rFonts w:eastAsia="新細明體"/>
          <w:b/>
          <w:u w:val="single"/>
          <w:lang w:eastAsia="zh-TW"/>
        </w:rPr>
        <w:t>:</w:t>
      </w:r>
      <w:r>
        <w:rPr>
          <w:rFonts w:eastAsiaTheme="minorEastAsia"/>
          <w:lang w:val="en-GB" w:eastAsia="zh-TW"/>
        </w:rPr>
        <w:t xml:space="preserve"> Mini-slot structure can be achieved by increasing the SCC and needs not to be considered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F17D8A" w:rsidRDefault="00241C45" w:rsidP="00241C45">
      <w:pPr>
        <w:pStyle w:val="Heading2"/>
        <w:rPr>
          <w:lang w:eastAsia="zh-TW"/>
        </w:rPr>
      </w:pPr>
      <w:r>
        <w:rPr>
          <w:lang w:eastAsia="zh-TW"/>
        </w:rPr>
        <w:t>PSCCH and PSSCH Structures</w:t>
      </w:r>
    </w:p>
    <w:p w:rsidR="00241C45" w:rsidRDefault="00544A1A" w:rsidP="00F17D8A">
      <w:pPr>
        <w:jc w:val="both"/>
        <w:rPr>
          <w:rFonts w:eastAsiaTheme="minorEastAsia"/>
          <w:lang w:val="en-GB" w:eastAsia="zh-TW"/>
        </w:rPr>
      </w:pPr>
      <w:r>
        <w:rPr>
          <w:rFonts w:eastAsiaTheme="minorEastAsia"/>
          <w:lang w:val="en-GB" w:eastAsia="zh-TW"/>
        </w:rPr>
        <w:t>In Fig. 2, PSCCH and PSSCH structures are shown according to the resource allocation of Fig. 1. Fig. 2 (a) depicts the PSCCH and PSSCH structures of legacy LTE V2X. The last OFDM symbol is used as guard interval and 4 OFDM symbols are used for DMRS supporting vehicular speed 500 km/h. The DMRS overhead ratio is about 1/3. Since the waveform of LTE V2X is DFT-s-OFDM, whole OFDM symbol should be used for DMRS to keep lower PAPR property. Fig</w:t>
      </w:r>
      <w:r w:rsidR="00395880">
        <w:rPr>
          <w:rFonts w:eastAsiaTheme="minorEastAsia"/>
          <w:lang w:val="en-GB" w:eastAsia="zh-TW"/>
        </w:rPr>
        <w:t>s</w:t>
      </w:r>
      <w:r>
        <w:rPr>
          <w:rFonts w:eastAsiaTheme="minorEastAsia"/>
          <w:lang w:val="en-GB" w:eastAsia="zh-TW"/>
        </w:rPr>
        <w:t>. 2 (b)</w:t>
      </w:r>
      <w:r w:rsidR="00395880">
        <w:rPr>
          <w:rFonts w:eastAsiaTheme="minorEastAsia"/>
          <w:lang w:val="en-GB" w:eastAsia="zh-TW"/>
        </w:rPr>
        <w:t xml:space="preserve"> and (c)</w:t>
      </w:r>
      <w:r>
        <w:rPr>
          <w:rFonts w:eastAsiaTheme="minorEastAsia"/>
          <w:lang w:val="en-GB" w:eastAsia="zh-TW"/>
        </w:rPr>
        <w:t xml:space="preserve"> depict the PSCCH and PSSCH structures of one possible TDM resource allocation with OFDM waveform. Because of the flexibility and robustness of OFDM waveform, the DMRS can be distributed to whole resource</w:t>
      </w:r>
      <w:r w:rsidR="00395880">
        <w:rPr>
          <w:rFonts w:eastAsiaTheme="minorEastAsia"/>
          <w:lang w:val="en-GB" w:eastAsia="zh-TW"/>
        </w:rPr>
        <w:t xml:space="preserve"> sparsely</w:t>
      </w:r>
      <w:r>
        <w:rPr>
          <w:rFonts w:eastAsiaTheme="minorEastAsia"/>
          <w:lang w:val="en-GB" w:eastAsia="zh-TW"/>
        </w:rPr>
        <w:t>. If only one antenna port is used, the DMRS overhead ratio can be reduced to 1/10. That means the spectral efficiency of scheme</w:t>
      </w:r>
      <w:r w:rsidR="00395880">
        <w:rPr>
          <w:rFonts w:eastAsiaTheme="minorEastAsia"/>
          <w:lang w:val="en-GB" w:eastAsia="zh-TW"/>
        </w:rPr>
        <w:t>s</w:t>
      </w:r>
      <w:r>
        <w:rPr>
          <w:rFonts w:eastAsiaTheme="minorEastAsia"/>
          <w:lang w:val="en-GB" w:eastAsia="zh-TW"/>
        </w:rPr>
        <w:t xml:space="preserve"> (b) </w:t>
      </w:r>
      <w:r w:rsidR="00395880">
        <w:rPr>
          <w:rFonts w:eastAsiaTheme="minorEastAsia"/>
          <w:lang w:val="en-GB" w:eastAsia="zh-TW"/>
        </w:rPr>
        <w:t xml:space="preserve">and (c) </w:t>
      </w:r>
      <w:r>
        <w:rPr>
          <w:rFonts w:eastAsiaTheme="minorEastAsia"/>
          <w:lang w:val="en-GB" w:eastAsia="zh-TW"/>
        </w:rPr>
        <w:t xml:space="preserve">can be increased 3 times when compared with legacy scheme (a). </w:t>
      </w:r>
    </w:p>
    <w:p w:rsidR="00544A1A" w:rsidRDefault="00544A1A" w:rsidP="00F17D8A">
      <w:pPr>
        <w:jc w:val="both"/>
        <w:rPr>
          <w:rFonts w:eastAsiaTheme="minorEastAsia"/>
          <w:lang w:val="en-GB" w:eastAsia="zh-TW"/>
        </w:rPr>
      </w:pPr>
      <w:r>
        <w:rPr>
          <w:rFonts w:eastAsiaTheme="minorEastAsia"/>
          <w:lang w:val="en-GB" w:eastAsia="zh-TW"/>
        </w:rPr>
        <w:t>If higher SCS is used in NR V2X, the DMRS density can also be decreased to meet the requirement of 500 km/h vehicular speed. For example, increase SCS two times and DMRS density can be half.</w:t>
      </w:r>
    </w:p>
    <w:p w:rsidR="00544A1A" w:rsidRDefault="00544A1A" w:rsidP="00F17D8A">
      <w:pPr>
        <w:jc w:val="both"/>
        <w:rPr>
          <w:rFonts w:eastAsiaTheme="minorEastAsia"/>
          <w:lang w:val="en-GB" w:eastAsia="zh-TW"/>
        </w:rPr>
      </w:pPr>
      <w:r>
        <w:rPr>
          <w:rFonts w:eastAsiaTheme="minorEastAsia"/>
          <w:lang w:val="en-GB" w:eastAsia="zh-TW"/>
        </w:rPr>
        <w:lastRenderedPageBreak/>
        <w:t xml:space="preserve">In the scheme Fig. 2 (b), DMRS of PSCCH and PSSCH can be shared and enhances the precision of channel estimation. In NR </w:t>
      </w:r>
      <w:proofErr w:type="spellStart"/>
      <w:r>
        <w:rPr>
          <w:rFonts w:eastAsiaTheme="minorEastAsia"/>
          <w:lang w:val="en-GB" w:eastAsia="zh-TW"/>
        </w:rPr>
        <w:t>eMBB</w:t>
      </w:r>
      <w:proofErr w:type="spellEnd"/>
      <w:r>
        <w:rPr>
          <w:rFonts w:eastAsiaTheme="minorEastAsia"/>
          <w:lang w:val="en-GB" w:eastAsia="zh-TW"/>
        </w:rPr>
        <w:t>, the allocation and pattern of DMRS w</w:t>
      </w:r>
      <w:bookmarkStart w:id="3" w:name="_GoBack"/>
      <w:bookmarkEnd w:id="3"/>
      <w:r>
        <w:rPr>
          <w:rFonts w:eastAsiaTheme="minorEastAsia"/>
          <w:lang w:val="en-GB" w:eastAsia="zh-TW"/>
        </w:rPr>
        <w:t xml:space="preserve">ere evaluated. We can leverage some of the evaluation results of NR </w:t>
      </w:r>
      <w:proofErr w:type="spellStart"/>
      <w:r>
        <w:rPr>
          <w:rFonts w:eastAsiaTheme="minorEastAsia"/>
          <w:lang w:val="en-GB" w:eastAsia="zh-TW"/>
        </w:rPr>
        <w:t>eMBB</w:t>
      </w:r>
      <w:proofErr w:type="spellEnd"/>
      <w:r>
        <w:rPr>
          <w:rFonts w:eastAsiaTheme="minorEastAsia"/>
          <w:lang w:val="en-GB" w:eastAsia="zh-TW"/>
        </w:rPr>
        <w:t xml:space="preserve">. </w:t>
      </w:r>
    </w:p>
    <w:p w:rsidR="00544A1A" w:rsidRDefault="00544A1A" w:rsidP="00F17D8A">
      <w:pPr>
        <w:jc w:val="both"/>
        <w:rPr>
          <w:rFonts w:eastAsiaTheme="minorEastAsia"/>
          <w:lang w:val="en-GB" w:eastAsia="zh-TW"/>
        </w:rPr>
      </w:pPr>
      <w:r>
        <w:rPr>
          <w:rFonts w:eastAsia="新細明體"/>
          <w:b/>
          <w:u w:val="single"/>
          <w:lang w:eastAsia="zh-TW"/>
        </w:rPr>
        <w:t>Proposal 5</w:t>
      </w:r>
      <w:r w:rsidRPr="00143FF3">
        <w:rPr>
          <w:rFonts w:eastAsia="新細明體"/>
          <w:b/>
          <w:u w:val="single"/>
          <w:lang w:eastAsia="zh-TW"/>
        </w:rPr>
        <w:t>:</w:t>
      </w:r>
      <w:r>
        <w:rPr>
          <w:rFonts w:eastAsiaTheme="minorEastAsia"/>
          <w:lang w:val="en-GB" w:eastAsia="zh-TW"/>
        </w:rPr>
        <w:t xml:space="preserve"> DMRS density and pattern should be evaluated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B11AA2" w:rsidRDefault="00B11AA2" w:rsidP="00B11AA2">
      <w:pPr>
        <w:jc w:val="center"/>
        <w:rPr>
          <w:rFonts w:eastAsiaTheme="minorEastAsia"/>
          <w:lang w:val="en-GB" w:eastAsia="zh-TW"/>
        </w:rPr>
      </w:pPr>
      <w:r w:rsidRPr="00B11AA2">
        <w:rPr>
          <w:noProof/>
          <w:lang w:eastAsia="zh-TW"/>
        </w:rPr>
        <w:drawing>
          <wp:inline distT="0" distB="0" distL="0" distR="0">
            <wp:extent cx="2012400" cy="298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2400" cy="2980800"/>
                    </a:xfrm>
                    <a:prstGeom prst="rect">
                      <a:avLst/>
                    </a:prstGeom>
                    <a:noFill/>
                    <a:ln>
                      <a:noFill/>
                    </a:ln>
                  </pic:spPr>
                </pic:pic>
              </a:graphicData>
            </a:graphic>
          </wp:inline>
        </w:drawing>
      </w:r>
      <w:r w:rsidR="00AF6CDA">
        <w:rPr>
          <w:rFonts w:eastAsiaTheme="minorEastAsia"/>
          <w:lang w:val="en-GB" w:eastAsia="zh-TW"/>
        </w:rPr>
        <w:t xml:space="preserve"> </w:t>
      </w:r>
      <w:r w:rsidRPr="00B11AA2">
        <w:rPr>
          <w:noProof/>
          <w:lang w:eastAsia="zh-TW"/>
        </w:rPr>
        <w:drawing>
          <wp:inline distT="0" distB="0" distL="0" distR="0">
            <wp:extent cx="2012400" cy="29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2400" cy="2970000"/>
                    </a:xfrm>
                    <a:prstGeom prst="rect">
                      <a:avLst/>
                    </a:prstGeom>
                    <a:noFill/>
                    <a:ln>
                      <a:noFill/>
                    </a:ln>
                  </pic:spPr>
                </pic:pic>
              </a:graphicData>
            </a:graphic>
          </wp:inline>
        </w:drawing>
      </w:r>
      <w:r w:rsidR="00AF6CDA" w:rsidRPr="00AF6CDA">
        <w:rPr>
          <w:rFonts w:eastAsiaTheme="minorEastAsia"/>
          <w:lang w:val="en-GB" w:eastAsia="zh-TW"/>
        </w:rPr>
        <w:t xml:space="preserve"> </w:t>
      </w:r>
      <w:r w:rsidR="00395880" w:rsidRPr="00395880">
        <w:drawing>
          <wp:inline distT="0" distB="0" distL="0" distR="0">
            <wp:extent cx="2008800" cy="300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8800" cy="3009600"/>
                    </a:xfrm>
                    <a:prstGeom prst="rect">
                      <a:avLst/>
                    </a:prstGeom>
                    <a:noFill/>
                    <a:ln>
                      <a:noFill/>
                    </a:ln>
                  </pic:spPr>
                </pic:pic>
              </a:graphicData>
            </a:graphic>
          </wp:inline>
        </w:drawing>
      </w:r>
    </w:p>
    <w:p w:rsidR="00B11AA2" w:rsidRPr="00B11AA2" w:rsidRDefault="00B11AA2" w:rsidP="00AF6CDA">
      <w:pPr>
        <w:ind w:left="864" w:firstLine="288"/>
      </w:pPr>
      <w:r w:rsidRPr="00B11AA2">
        <w:t xml:space="preserve">(a) </w:t>
      </w:r>
      <w:r w:rsidRPr="00B11AA2">
        <w:tab/>
      </w:r>
      <w:r w:rsidR="00AF6CDA">
        <w:tab/>
      </w:r>
      <w:r w:rsidRPr="00B11AA2">
        <w:tab/>
      </w:r>
      <w:r w:rsidRPr="00B11AA2">
        <w:tab/>
      </w:r>
      <w:r w:rsidRPr="00B11AA2">
        <w:tab/>
      </w:r>
      <w:r w:rsidRPr="00B11AA2">
        <w:tab/>
      </w:r>
      <w:r>
        <w:tab/>
      </w:r>
      <w:r w:rsidRPr="00B11AA2">
        <w:tab/>
      </w:r>
      <w:r w:rsidR="00AF6CDA">
        <w:tab/>
      </w:r>
      <w:r w:rsidR="00AF6CDA">
        <w:tab/>
      </w:r>
      <w:r w:rsidR="00AF6CDA">
        <w:tab/>
      </w:r>
      <w:proofErr w:type="gramStart"/>
      <w:r w:rsidRPr="00B11AA2">
        <w:t>(b)</w:t>
      </w:r>
      <w:r w:rsidR="00AF6CDA">
        <w:tab/>
      </w:r>
      <w:r w:rsidR="00AF6CDA">
        <w:tab/>
      </w:r>
      <w:r w:rsidR="00AF6CDA">
        <w:tab/>
      </w:r>
      <w:r w:rsidR="00AF6CDA">
        <w:tab/>
      </w:r>
      <w:r w:rsidR="00AF6CDA">
        <w:tab/>
      </w:r>
      <w:r w:rsidR="00AF6CDA">
        <w:tab/>
      </w:r>
      <w:r w:rsidR="00AF6CDA">
        <w:tab/>
      </w:r>
      <w:r w:rsidR="00AF6CDA">
        <w:tab/>
      </w:r>
      <w:r w:rsidR="00AF6CDA">
        <w:tab/>
      </w:r>
      <w:r w:rsidR="00AF6CDA">
        <w:tab/>
      </w:r>
      <w:r w:rsidR="00AF6CDA">
        <w:tab/>
        <w:t>(c)</w:t>
      </w:r>
      <w:proofErr w:type="gramEnd"/>
    </w:p>
    <w:p w:rsidR="00B11AA2" w:rsidRPr="00B11AA2" w:rsidRDefault="00B11AA2" w:rsidP="00544A1A">
      <w:pPr>
        <w:jc w:val="center"/>
        <w:rPr>
          <w:rFonts w:eastAsiaTheme="minorEastAsia"/>
          <w:lang w:eastAsia="zh-TW"/>
        </w:rPr>
      </w:pPr>
      <w:r w:rsidRPr="0058132C">
        <w:rPr>
          <w:b/>
        </w:rPr>
        <w:t xml:space="preserve">Figure </w:t>
      </w:r>
      <w:r>
        <w:rPr>
          <w:rFonts w:eastAsiaTheme="minorEastAsia" w:hint="eastAsia"/>
          <w:b/>
          <w:lang w:eastAsia="zh-TW"/>
        </w:rPr>
        <w:t>2</w:t>
      </w:r>
      <w:r w:rsidRPr="0058132C">
        <w:rPr>
          <w:b/>
        </w:rPr>
        <w:t xml:space="preserve">. </w:t>
      </w:r>
      <w:r w:rsidR="005626E5">
        <w:rPr>
          <w:rFonts w:eastAsiaTheme="minorEastAsia"/>
          <w:lang w:eastAsia="zh-TW"/>
        </w:rPr>
        <w:t xml:space="preserve">Examples of </w:t>
      </w:r>
      <w:proofErr w:type="spellStart"/>
      <w:r w:rsidR="005626E5">
        <w:rPr>
          <w:rFonts w:eastAsiaTheme="minorEastAsia"/>
          <w:lang w:eastAsia="zh-TW"/>
        </w:rPr>
        <w:t>sidelink</w:t>
      </w:r>
      <w:proofErr w:type="spellEnd"/>
      <w:r w:rsidR="005626E5">
        <w:rPr>
          <w:rFonts w:eastAsiaTheme="minorEastAsia"/>
          <w:lang w:eastAsia="zh-TW"/>
        </w:rPr>
        <w:t xml:space="preserve"> physical layer structure. </w:t>
      </w:r>
    </w:p>
    <w:p w:rsidR="00373024" w:rsidRDefault="00373024" w:rsidP="00373024">
      <w:pPr>
        <w:pStyle w:val="Heading1"/>
        <w:rPr>
          <w:rFonts w:eastAsia="新細明體"/>
          <w:lang w:eastAsia="zh-TW"/>
        </w:rPr>
      </w:pPr>
      <w:r>
        <w:rPr>
          <w:rFonts w:eastAsia="新細明體"/>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544A1A" w:rsidRDefault="00544A1A" w:rsidP="00544A1A">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In NR V2X design, the latency and reliability requirements are the major concerns.</w:t>
      </w:r>
    </w:p>
    <w:p w:rsidR="00544A1A" w:rsidRDefault="00544A1A" w:rsidP="00544A1A">
      <w:pPr>
        <w:jc w:val="both"/>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OFDM should be adopted in NR V2X </w:t>
      </w:r>
      <w:proofErr w:type="spellStart"/>
      <w:r>
        <w:rPr>
          <w:rFonts w:eastAsiaTheme="minorEastAsia"/>
          <w:lang w:val="en-GB" w:eastAsia="zh-TW"/>
        </w:rPr>
        <w:t>sidelink</w:t>
      </w:r>
      <w:proofErr w:type="spellEnd"/>
      <w:r>
        <w:rPr>
          <w:rFonts w:eastAsiaTheme="minorEastAsia"/>
          <w:lang w:val="en-GB" w:eastAsia="zh-TW"/>
        </w:rPr>
        <w:t>.</w:t>
      </w:r>
    </w:p>
    <w:p w:rsidR="00544A1A" w:rsidRDefault="00544A1A" w:rsidP="00544A1A">
      <w:pPr>
        <w:jc w:val="both"/>
        <w:rPr>
          <w:rFonts w:eastAsiaTheme="minorEastAsia"/>
          <w:lang w:val="en-GB" w:eastAsia="zh-TW"/>
        </w:rPr>
      </w:pPr>
      <w:r>
        <w:rPr>
          <w:rFonts w:eastAsia="新細明體"/>
          <w:b/>
          <w:u w:val="single"/>
          <w:lang w:eastAsia="zh-TW"/>
        </w:rPr>
        <w:t>Proposal 2</w:t>
      </w:r>
      <w:r w:rsidRPr="00143FF3">
        <w:rPr>
          <w:rFonts w:eastAsia="新細明體"/>
          <w:b/>
          <w:u w:val="single"/>
          <w:lang w:eastAsia="zh-TW"/>
        </w:rPr>
        <w:t>:</w:t>
      </w:r>
      <w:r>
        <w:rPr>
          <w:rFonts w:eastAsiaTheme="minorEastAsia"/>
          <w:lang w:val="en-GB" w:eastAsia="zh-TW"/>
        </w:rPr>
        <w:t xml:space="preserve"> The value of fixed subcarrier spacing and maximum supported bandwidth in NR V2X </w:t>
      </w:r>
      <w:proofErr w:type="spellStart"/>
      <w:r>
        <w:rPr>
          <w:rFonts w:eastAsiaTheme="minorEastAsia"/>
          <w:lang w:val="en-GB" w:eastAsia="zh-TW"/>
        </w:rPr>
        <w:t>sidelink</w:t>
      </w:r>
      <w:proofErr w:type="spellEnd"/>
      <w:r>
        <w:rPr>
          <w:rFonts w:eastAsiaTheme="minorEastAsia"/>
          <w:lang w:val="en-GB" w:eastAsia="zh-TW"/>
        </w:rPr>
        <w:t xml:space="preserve"> should be further evaluated.</w:t>
      </w:r>
    </w:p>
    <w:p w:rsidR="00544A1A" w:rsidRDefault="00544A1A" w:rsidP="00544A1A">
      <w:pPr>
        <w:jc w:val="both"/>
        <w:rPr>
          <w:rFonts w:eastAsiaTheme="minorEastAsia"/>
          <w:lang w:val="en-GB" w:eastAsia="zh-TW"/>
        </w:rPr>
      </w:pPr>
      <w:r>
        <w:rPr>
          <w:rFonts w:eastAsia="新細明體"/>
          <w:b/>
          <w:u w:val="single"/>
          <w:lang w:eastAsia="zh-TW"/>
        </w:rPr>
        <w:t>Proposal 3</w:t>
      </w:r>
      <w:r w:rsidRPr="00143FF3">
        <w:rPr>
          <w:rFonts w:eastAsia="新細明體"/>
          <w:b/>
          <w:u w:val="single"/>
          <w:lang w:eastAsia="zh-TW"/>
        </w:rPr>
        <w:t>:</w:t>
      </w:r>
      <w:r>
        <w:rPr>
          <w:rFonts w:eastAsiaTheme="minorEastAsia"/>
          <w:lang w:val="en-GB" w:eastAsia="zh-TW"/>
        </w:rPr>
        <w:t xml:space="preserve"> The resource allocation of PSCCH and PSSCH is FDM or TDM should be further evaluated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544A1A" w:rsidRPr="00544A1A" w:rsidRDefault="00544A1A" w:rsidP="00544A1A">
      <w:pPr>
        <w:jc w:val="both"/>
      </w:pPr>
      <w:r>
        <w:rPr>
          <w:rFonts w:eastAsia="新細明體"/>
          <w:b/>
          <w:u w:val="single"/>
          <w:lang w:eastAsia="zh-TW"/>
        </w:rPr>
        <w:t>Proposal 4</w:t>
      </w:r>
      <w:r w:rsidRPr="00143FF3">
        <w:rPr>
          <w:rFonts w:eastAsia="新細明體"/>
          <w:b/>
          <w:u w:val="single"/>
          <w:lang w:eastAsia="zh-TW"/>
        </w:rPr>
        <w:t>:</w:t>
      </w:r>
      <w:r>
        <w:rPr>
          <w:rFonts w:eastAsiaTheme="minorEastAsia"/>
          <w:lang w:val="en-GB" w:eastAsia="zh-TW"/>
        </w:rPr>
        <w:t xml:space="preserve"> Mini-slot structure can be achieved by increasing the SCC and needs not to be considered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544A1A" w:rsidRPr="00544A1A" w:rsidRDefault="00544A1A" w:rsidP="00544A1A">
      <w:pPr>
        <w:jc w:val="both"/>
        <w:rPr>
          <w:rFonts w:eastAsiaTheme="minorEastAsia"/>
          <w:lang w:val="en-GB" w:eastAsia="zh-TW"/>
        </w:rPr>
      </w:pPr>
      <w:r>
        <w:rPr>
          <w:rFonts w:eastAsia="新細明體"/>
          <w:b/>
          <w:u w:val="single"/>
          <w:lang w:eastAsia="zh-TW"/>
        </w:rPr>
        <w:t>Proposal 5</w:t>
      </w:r>
      <w:r w:rsidRPr="00143FF3">
        <w:rPr>
          <w:rFonts w:eastAsia="新細明體"/>
          <w:b/>
          <w:u w:val="single"/>
          <w:lang w:eastAsia="zh-TW"/>
        </w:rPr>
        <w:t>:</w:t>
      </w:r>
      <w:r>
        <w:rPr>
          <w:rFonts w:eastAsiaTheme="minorEastAsia"/>
          <w:lang w:val="en-GB" w:eastAsia="zh-TW"/>
        </w:rPr>
        <w:t xml:space="preserve"> DMRS density and pattern should be evaluated in NR V2X</w:t>
      </w:r>
      <w:r w:rsidR="00E36C49">
        <w:rPr>
          <w:rFonts w:eastAsiaTheme="minorEastAsia"/>
          <w:lang w:val="en-GB" w:eastAsia="zh-TW"/>
        </w:rPr>
        <w:t xml:space="preserve"> </w:t>
      </w:r>
      <w:proofErr w:type="spellStart"/>
      <w:r w:rsidR="00E36C49">
        <w:rPr>
          <w:rFonts w:eastAsiaTheme="minorEastAsia"/>
          <w:lang w:val="en-GB" w:eastAsia="zh-TW"/>
        </w:rPr>
        <w:t>sidelink</w:t>
      </w:r>
      <w:proofErr w:type="spellEnd"/>
      <w:r>
        <w:rPr>
          <w:rFonts w:eastAsiaTheme="minorEastAsia"/>
          <w:lang w:val="en-GB" w:eastAsia="zh-TW"/>
        </w:rPr>
        <w:t>.</w:t>
      </w:r>
    </w:p>
    <w:p w:rsidR="00E523F3" w:rsidRPr="000A64D8" w:rsidRDefault="00E523F3" w:rsidP="00E523F3">
      <w:pPr>
        <w:pStyle w:val="Heading1"/>
        <w:rPr>
          <w:lang w:val="en-US"/>
        </w:rPr>
      </w:pPr>
      <w:r w:rsidRPr="000A64D8">
        <w:rPr>
          <w:lang w:val="en-US"/>
        </w:rPr>
        <w:t>References</w:t>
      </w:r>
    </w:p>
    <w:p w:rsidR="00FF46E6" w:rsidRDefault="00FF46E6" w:rsidP="00CE7BCB">
      <w:pPr>
        <w:numPr>
          <w:ilvl w:val="0"/>
          <w:numId w:val="2"/>
        </w:numPr>
        <w:spacing w:before="100" w:beforeAutospacing="1" w:after="100" w:afterAutospacing="1"/>
        <w:rPr>
          <w:szCs w:val="22"/>
        </w:rPr>
      </w:pPr>
      <w:r>
        <w:rPr>
          <w:szCs w:val="22"/>
        </w:rPr>
        <w:t>RP-181480 New SID: Study on NR V2X, Vodafone, June 2018</w:t>
      </w:r>
    </w:p>
    <w:p w:rsidR="005626E5" w:rsidRDefault="005626E5" w:rsidP="004611D4">
      <w:pPr>
        <w:numPr>
          <w:ilvl w:val="0"/>
          <w:numId w:val="2"/>
        </w:numPr>
        <w:spacing w:before="100" w:beforeAutospacing="1" w:after="100" w:afterAutospacing="1"/>
        <w:rPr>
          <w:szCs w:val="22"/>
        </w:rPr>
      </w:pPr>
      <w:r>
        <w:rPr>
          <w:szCs w:val="22"/>
        </w:rPr>
        <w:lastRenderedPageBreak/>
        <w:t>Study on enhancement of 3GPP support for 5G V2X services, 3GPP TR 22.886, v16.0.0, June 2018</w:t>
      </w:r>
    </w:p>
    <w:p w:rsidR="005626E5" w:rsidRDefault="005626E5" w:rsidP="004611D4">
      <w:pPr>
        <w:numPr>
          <w:ilvl w:val="0"/>
          <w:numId w:val="2"/>
        </w:numPr>
        <w:spacing w:before="100" w:beforeAutospacing="1" w:after="100" w:afterAutospacing="1"/>
        <w:rPr>
          <w:szCs w:val="22"/>
        </w:rPr>
      </w:pPr>
      <w:r>
        <w:rPr>
          <w:szCs w:val="22"/>
        </w:rPr>
        <w:t>Study on LTE support for vehicle to everything (V2X) services, 3GPP TR 22.885, v14.0.0, Dec. 2015</w:t>
      </w:r>
    </w:p>
    <w:p w:rsidR="00CE7BCB" w:rsidRPr="00CE7BCB" w:rsidRDefault="00CE7BCB" w:rsidP="004611D4">
      <w:pPr>
        <w:numPr>
          <w:ilvl w:val="0"/>
          <w:numId w:val="2"/>
        </w:numPr>
        <w:spacing w:before="100" w:beforeAutospacing="1" w:after="100" w:afterAutospacing="1"/>
        <w:rPr>
          <w:szCs w:val="22"/>
        </w:rPr>
      </w:pPr>
      <w:r w:rsidRPr="00B11AA2">
        <w:rPr>
          <w:szCs w:val="22"/>
        </w:rPr>
        <w:t>R1-1</w:t>
      </w:r>
      <w:r w:rsidR="00B11AA2" w:rsidRPr="00B11AA2">
        <w:rPr>
          <w:szCs w:val="22"/>
        </w:rPr>
        <w:t>80828</w:t>
      </w:r>
      <w:r w:rsidR="00B11AA2">
        <w:rPr>
          <w:szCs w:val="22"/>
        </w:rPr>
        <w:t xml:space="preserve">1 On NR V2X resource allocation, </w:t>
      </w:r>
      <w:proofErr w:type="spellStart"/>
      <w:r w:rsidR="00B11AA2">
        <w:rPr>
          <w:szCs w:val="22"/>
        </w:rPr>
        <w:t>MediaTek</w:t>
      </w:r>
      <w:proofErr w:type="spellEnd"/>
      <w:r w:rsidR="00B11AA2">
        <w:rPr>
          <w:szCs w:val="22"/>
        </w:rPr>
        <w:t>, Aug. 2018</w:t>
      </w:r>
    </w:p>
    <w:sectPr w:rsidR="00CE7BCB" w:rsidRPr="00CE7BC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88E" w:rsidRDefault="00E7388E">
      <w:r>
        <w:separator/>
      </w:r>
    </w:p>
  </w:endnote>
  <w:endnote w:type="continuationSeparator" w:id="0">
    <w:p w:rsidR="00E7388E" w:rsidRDefault="00E7388E">
      <w:r>
        <w:continuationSeparator/>
      </w:r>
    </w:p>
  </w:endnote>
  <w:endnote w:type="continuationNotice" w:id="1">
    <w:p w:rsidR="00E7388E" w:rsidRDefault="00E7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395880">
      <w:rPr>
        <w:rStyle w:val="PageNumber"/>
      </w:rPr>
      <w:t>1</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39588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88E" w:rsidRDefault="00E7388E">
      <w:r>
        <w:separator/>
      </w:r>
    </w:p>
  </w:footnote>
  <w:footnote w:type="continuationSeparator" w:id="0">
    <w:p w:rsidR="00E7388E" w:rsidRDefault="00E7388E">
      <w:r>
        <w:continuationSeparator/>
      </w:r>
    </w:p>
  </w:footnote>
  <w:footnote w:type="continuationNotice" w:id="1">
    <w:p w:rsidR="00E7388E" w:rsidRDefault="00E738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90C4F"/>
    <w:multiLevelType w:val="hybridMultilevel"/>
    <w:tmpl w:val="E0C6C71C"/>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15:restartNumberingAfterBreak="0">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4" w15:restartNumberingAfterBreak="0">
    <w:nsid w:val="3BDC360A"/>
    <w:multiLevelType w:val="hybridMultilevel"/>
    <w:tmpl w:val="B6E2980A"/>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4D463286"/>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E83182"/>
    <w:multiLevelType w:val="hybridMultilevel"/>
    <w:tmpl w:val="66A8A9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3"/>
  </w:num>
  <w:num w:numId="4">
    <w:abstractNumId w:val="21"/>
  </w:num>
  <w:num w:numId="5">
    <w:abstractNumId w:val="4"/>
  </w:num>
  <w:num w:numId="6">
    <w:abstractNumId w:val="12"/>
  </w:num>
  <w:num w:numId="7">
    <w:abstractNumId w:val="15"/>
  </w:num>
  <w:num w:numId="8">
    <w:abstractNumId w:val="1"/>
  </w:num>
  <w:num w:numId="9">
    <w:abstractNumId w:val="37"/>
  </w:num>
  <w:num w:numId="10">
    <w:abstractNumId w:val="20"/>
  </w:num>
  <w:num w:numId="11">
    <w:abstractNumId w:val="18"/>
  </w:num>
  <w:num w:numId="12">
    <w:abstractNumId w:val="38"/>
  </w:num>
  <w:num w:numId="13">
    <w:abstractNumId w:val="9"/>
  </w:num>
  <w:num w:numId="14">
    <w:abstractNumId w:val="33"/>
  </w:num>
  <w:num w:numId="15">
    <w:abstractNumId w:val="5"/>
  </w:num>
  <w:num w:numId="16">
    <w:abstractNumId w:val="28"/>
  </w:num>
  <w:num w:numId="17">
    <w:abstractNumId w:val="27"/>
  </w:num>
  <w:num w:numId="1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3"/>
  </w:num>
  <w:num w:numId="22">
    <w:abstractNumId w:val="7"/>
  </w:num>
  <w:num w:numId="23">
    <w:abstractNumId w:val="39"/>
  </w:num>
  <w:num w:numId="24">
    <w:abstractNumId w:val="22"/>
  </w:num>
  <w:num w:numId="25">
    <w:abstractNumId w:val="41"/>
  </w:num>
  <w:num w:numId="26">
    <w:abstractNumId w:val="3"/>
  </w:num>
  <w:num w:numId="27">
    <w:abstractNumId w:val="3"/>
  </w:num>
  <w:num w:numId="28">
    <w:abstractNumId w:val="19"/>
  </w:num>
  <w:num w:numId="29">
    <w:abstractNumId w:val="3"/>
  </w:num>
  <w:num w:numId="30">
    <w:abstractNumId w:val="3"/>
  </w:num>
  <w:num w:numId="31">
    <w:abstractNumId w:val="2"/>
  </w:num>
  <w:num w:numId="32">
    <w:abstractNumId w:val="14"/>
  </w:num>
  <w:num w:numId="33">
    <w:abstractNumId w:val="3"/>
  </w:num>
  <w:num w:numId="34">
    <w:abstractNumId w:val="40"/>
  </w:num>
  <w:num w:numId="35">
    <w:abstractNumId w:val="35"/>
  </w:num>
  <w:num w:numId="36">
    <w:abstractNumId w:val="3"/>
  </w:num>
  <w:num w:numId="37">
    <w:abstractNumId w:val="16"/>
  </w:num>
  <w:num w:numId="38">
    <w:abstractNumId w:val="42"/>
  </w:num>
  <w:num w:numId="39">
    <w:abstractNumId w:val="31"/>
  </w:num>
  <w:num w:numId="40">
    <w:abstractNumId w:val="32"/>
  </w:num>
  <w:num w:numId="41">
    <w:abstractNumId w:val="24"/>
  </w:num>
  <w:num w:numId="42">
    <w:abstractNumId w:val="11"/>
  </w:num>
  <w:num w:numId="43">
    <w:abstractNumId w:val="36"/>
  </w:num>
  <w:num w:numId="44">
    <w:abstractNumId w:val="29"/>
  </w:num>
  <w:num w:numId="45">
    <w:abstractNumId w:val="8"/>
  </w:num>
  <w:num w:numId="46">
    <w:abstractNumId w:val="25"/>
  </w:num>
  <w:num w:numId="47">
    <w:abstractNumId w:val="34"/>
  </w:num>
  <w:num w:numId="48">
    <w:abstractNumId w:val="30"/>
  </w:num>
  <w:num w:numId="4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schemas.microsoft.com/office/infopath/2007/PartnerControls"/>
    <ds:schemaRef ds:uri="9238aee7-caa6-41e3-83d0-457e088803cc"/>
    <ds:schemaRef ds:uri="http://www.w3.org/XML/1998/namespace"/>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554bdb6f-217d-4cda-85cc-0ca32126c36c"/>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5C7C447-900D-498F-963E-96C1347CD8B2}">
  <ds:schemaRefs>
    <ds:schemaRef ds:uri="http://schemas.openxmlformats.org/officeDocument/2006/bibliography"/>
  </ds:schemaRefs>
</ds:datastoreItem>
</file>

<file path=customXml/itemProps5.xml><?xml version="1.0" encoding="utf-8"?>
<ds:datastoreItem xmlns:ds="http://schemas.openxmlformats.org/officeDocument/2006/customXml" ds:itemID="{174BAB61-96A2-4594-B9BA-D6083A5A333F}">
  <ds:schemaRefs>
    <ds:schemaRef ds:uri="http://schemas.openxmlformats.org/officeDocument/2006/bibliography"/>
  </ds:schemaRefs>
</ds:datastoreItem>
</file>

<file path=customXml/itemProps6.xml><?xml version="1.0" encoding="utf-8"?>
<ds:datastoreItem xmlns:ds="http://schemas.openxmlformats.org/officeDocument/2006/customXml" ds:itemID="{9C7D53F1-A9F4-4C1F-BEEA-96A9E51CD8E3}">
  <ds:schemaRefs>
    <ds:schemaRef ds:uri="http://schemas.openxmlformats.org/officeDocument/2006/bibliography"/>
  </ds:schemaRefs>
</ds:datastoreItem>
</file>

<file path=customXml/itemProps7.xml><?xml version="1.0" encoding="utf-8"?>
<ds:datastoreItem xmlns:ds="http://schemas.openxmlformats.org/officeDocument/2006/customXml" ds:itemID="{D867ACE9-04D6-4D37-8E2F-62BD410F2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2163</TotalTime>
  <Pages>5</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13</cp:revision>
  <cp:lastPrinted>2016-11-09T12:39:00Z</cp:lastPrinted>
  <dcterms:created xsi:type="dcterms:W3CDTF">2017-10-02T21:34:00Z</dcterms:created>
  <dcterms:modified xsi:type="dcterms:W3CDTF">2018-08-10T07:46:00Z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